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162D" w14:textId="0727DE20" w:rsidR="00393C80" w:rsidRPr="00393C80" w:rsidRDefault="00393C80" w:rsidP="00393C80">
      <w:pPr>
        <w:pStyle w:val="ac"/>
        <w:rPr>
          <w:rFonts w:ascii="宋体"/>
        </w:rPr>
      </w:pPr>
      <w:r w:rsidRPr="00393C80">
        <w:rPr>
          <w:rFonts w:ascii="宋体" w:hint="eastAsia"/>
          <w:lang w:eastAsia="zh-TW"/>
        </w:rPr>
        <w:t>讀胡家草場西漢律令札記</w:t>
      </w:r>
    </w:p>
    <w:p w14:paraId="7BCAB017" w14:textId="77777777" w:rsidR="00393C80" w:rsidRDefault="00393C80" w:rsidP="00393C80">
      <w:pPr>
        <w:widowControl/>
        <w:spacing w:line="300" w:lineRule="auto"/>
        <w:jc w:val="center"/>
        <w:textAlignment w:val="center"/>
        <w:rPr>
          <w:rFonts w:ascii="华文楷体" w:eastAsia="华文楷体" w:hAnsi="华文楷体"/>
          <w:szCs w:val="24"/>
        </w:rPr>
      </w:pPr>
    </w:p>
    <w:p w14:paraId="34838840" w14:textId="61516824" w:rsidR="00393C80" w:rsidRPr="00393C80" w:rsidRDefault="00393C80" w:rsidP="00393C80">
      <w:pPr>
        <w:pStyle w:val="ad"/>
      </w:pPr>
      <w:r w:rsidRPr="00393C80">
        <w:rPr>
          <w:rFonts w:hint="eastAsia"/>
        </w:rPr>
        <w:t>周波</w:t>
      </w:r>
    </w:p>
    <w:p w14:paraId="350ED92A" w14:textId="40FF13CF" w:rsidR="00393C80" w:rsidRPr="00393C80" w:rsidRDefault="00393C80" w:rsidP="00393C80">
      <w:pPr>
        <w:pStyle w:val="ad"/>
      </w:pPr>
      <w:r w:rsidRPr="00393C80">
        <w:rPr>
          <w:rFonts w:hint="eastAsia"/>
        </w:rPr>
        <w:t>復旦大學出土文獻與古文字研究中心</w:t>
      </w:r>
    </w:p>
    <w:p w14:paraId="15ADF8E7" w14:textId="77777777" w:rsidR="00393C80" w:rsidRPr="00393C80" w:rsidRDefault="00393C80" w:rsidP="00393C80">
      <w:pPr>
        <w:widowControl/>
        <w:spacing w:line="300" w:lineRule="auto"/>
        <w:jc w:val="center"/>
        <w:textAlignment w:val="center"/>
        <w:rPr>
          <w:szCs w:val="24"/>
        </w:rPr>
      </w:pPr>
    </w:p>
    <w:p w14:paraId="4E3264D3" w14:textId="52966504" w:rsidR="00393C80" w:rsidRPr="00393C80" w:rsidRDefault="00393C80" w:rsidP="00393C80">
      <w:pPr>
        <w:pStyle w:val="ab"/>
        <w:ind w:firstLine="560"/>
        <w:rPr>
          <w:lang w:eastAsia="zh-TW"/>
        </w:rPr>
      </w:pPr>
      <w:r w:rsidRPr="00393C80">
        <w:rPr>
          <w:rFonts w:hint="eastAsia"/>
          <w:lang w:eastAsia="zh-TW"/>
        </w:rPr>
        <w:t>荊州胡家草場西漢簡牘包括有律令、日書、醫方等，內容極爲豐富。根據同出曆日類竹簡、下葬器物等來看，此批竹簡的年代應在漢文帝</w:t>
      </w:r>
      <w:r w:rsidRPr="00393C80">
        <w:rPr>
          <w:rFonts w:hint="eastAsia"/>
          <w:color w:val="000000"/>
          <w:shd w:val="clear" w:color="auto" w:fill="FCFCFC"/>
          <w:lang w:eastAsia="zh-TW"/>
        </w:rPr>
        <w:t>前元十六年或稍前</w:t>
      </w:r>
      <w:r w:rsidRPr="00393C80">
        <w:rPr>
          <w:rFonts w:hint="eastAsia"/>
          <w:lang w:eastAsia="zh-TW"/>
        </w:rPr>
        <w:t>。</w:t>
      </w:r>
      <w:r w:rsidRPr="00393C80">
        <w:rPr>
          <w:vertAlign w:val="superscript"/>
        </w:rPr>
        <w:endnoteReference w:id="1"/>
      </w:r>
      <w:r w:rsidRPr="00393C80">
        <w:rPr>
          <w:rFonts w:hint="eastAsia"/>
          <w:lang w:eastAsia="zh-TW"/>
        </w:rPr>
        <w:t>最近，《荊州胡家草場西漢簡牘選粹》（下簡稱《選粹》）一書公布了部分簡文，我們在研讀過程中發現其中有些律令可與其他幾批秦漢律令或傳世典籍相對讀，幷以資發明，因此草成兩則札記。</w:t>
      </w:r>
    </w:p>
    <w:p w14:paraId="7E52C140" w14:textId="77777777" w:rsidR="00393C80" w:rsidRPr="00393C80" w:rsidRDefault="00393C80" w:rsidP="00393C80">
      <w:pPr>
        <w:pStyle w:val="ac"/>
      </w:pPr>
      <w:r w:rsidRPr="00393C80">
        <w:rPr>
          <w:rFonts w:hint="eastAsia"/>
        </w:rPr>
        <w:t>一</w:t>
      </w:r>
    </w:p>
    <w:p w14:paraId="47CCA2D8" w14:textId="5D4E8AF0" w:rsidR="00393C80" w:rsidRPr="00393C80" w:rsidRDefault="00393C80" w:rsidP="00393C80">
      <w:pPr>
        <w:pStyle w:val="ab"/>
        <w:ind w:firstLine="560"/>
        <w:rPr>
          <w:rFonts w:ascii="华文楷体" w:eastAsia="华文楷体" w:hAnsi="华文楷体"/>
          <w:b/>
          <w:vertAlign w:val="subscript"/>
        </w:rPr>
      </w:pPr>
      <w:r w:rsidRPr="00393C80">
        <w:rPr>
          <w:rFonts w:hint="eastAsia"/>
          <w:lang w:eastAsia="zh-TW"/>
        </w:rPr>
        <w:t>胡家草場《盜律》（簡</w:t>
      </w:r>
      <w:r w:rsidRPr="00393C80">
        <w:rPr>
          <w:lang w:eastAsia="zh-TW"/>
        </w:rPr>
        <w:t>1387+1389</w:t>
      </w:r>
      <w:r w:rsidRPr="00393C80">
        <w:rPr>
          <w:rFonts w:hint="eastAsia"/>
          <w:lang w:eastAsia="zh-TW"/>
        </w:rPr>
        <w:t>）：</w:t>
      </w:r>
    </w:p>
    <w:p w14:paraId="10901635" w14:textId="4000DBF7" w:rsidR="00393C80" w:rsidRPr="00393C80" w:rsidRDefault="00393C80" w:rsidP="007B29FD">
      <w:pPr>
        <w:pStyle w:val="a4"/>
        <w:spacing w:before="540" w:after="540"/>
        <w:ind w:firstLine="496"/>
        <w:rPr>
          <w:rFonts w:eastAsia="华文楷体"/>
        </w:rPr>
      </w:pPr>
      <w:r w:rsidRPr="00393C80">
        <w:rPr>
          <w:rFonts w:hint="eastAsia"/>
        </w:rPr>
        <w:t>猲人以求錢財，盜殺傷人，盜發冢，略賣人若已略未賣，撟（矯）相以爲吏、自以爲吏以盜，皆磔。智（知）人略賣人而與賈，與同罪。不當賣而和爲人賣</w:t>
      </w:r>
      <w:r w:rsidRPr="00393C80">
        <w:rPr>
          <w:rFonts w:hint="eastAsia"/>
          <w:vertAlign w:val="subscript"/>
        </w:rPr>
        <w:t>＝</w:t>
      </w:r>
      <w:r w:rsidRPr="00393C80">
        <w:rPr>
          <w:rFonts w:hint="eastAsia"/>
        </w:rPr>
        <w:t>（賣，賣）者及智（知）其請（情）而買者，皆棄市。</w:t>
      </w:r>
    </w:p>
    <w:p w14:paraId="02B0ABA6" w14:textId="13D46AB4" w:rsidR="00393C80" w:rsidRPr="00393C80" w:rsidRDefault="007B29FD" w:rsidP="007B29FD">
      <w:pPr>
        <w:pStyle w:val="ab"/>
        <w:ind w:firstLine="560"/>
        <w:rPr>
          <w:lang w:eastAsia="zh-TW"/>
        </w:rPr>
      </w:pPr>
      <w:r w:rsidRPr="007B29FD">
        <w:rPr>
          <w:rFonts w:hint="eastAsia"/>
          <w:lang w:eastAsia="zh-TW"/>
        </w:rPr>
        <w:t>此條律文可與張家山漢簡《二年律令·盜律》相對讀。其中簡</w:t>
      </w:r>
      <w:r w:rsidRPr="007B29FD">
        <w:rPr>
          <w:lang w:eastAsia="zh-TW"/>
        </w:rPr>
        <w:t>65-66</w:t>
      </w:r>
      <w:r w:rsidRPr="007B29FD">
        <w:rPr>
          <w:rFonts w:hint="eastAsia"/>
          <w:lang w:eastAsia="zh-TW"/>
        </w:rPr>
        <w:t>：“群盜及亡徒群盜，毆折人枳（肢），失（胅）體，及令</w:t>
      </w:r>
      <w:r w:rsidRPr="007B29FD">
        <w:rPr>
          <w:rFonts w:hint="eastAsia"/>
          <w:bCs/>
          <w:lang w:eastAsia="zh-TW"/>
        </w:rPr>
        <w:t>佊</w:t>
      </w:r>
      <w:r w:rsidRPr="007B29FD">
        <w:rPr>
          <w:rFonts w:hint="eastAsia"/>
          <w:lang w:eastAsia="zh-TW"/>
        </w:rPr>
        <w:t>（跛）</w:t>
      </w:r>
      <w:r w:rsidRPr="007B29FD">
        <w:rPr>
          <w:rFonts w:cs="宋体" w:hint="eastAsia"/>
          <w:bCs/>
          <w:lang w:eastAsia="zh-TW"/>
        </w:rPr>
        <w:lastRenderedPageBreak/>
        <w:t>䞿</w:t>
      </w:r>
      <w:r w:rsidRPr="007B29FD">
        <w:rPr>
          <w:rFonts w:hint="eastAsia"/>
          <w:lang w:eastAsia="zh-TW"/>
        </w:rPr>
        <w:t>（蹇），若縛、守將人而强盜之，</w:t>
      </w:r>
      <w:r w:rsidR="00393C80" w:rsidRPr="00393C80">
        <w:rPr>
          <w:vertAlign w:val="superscript"/>
        </w:rPr>
        <w:endnoteReference w:id="2"/>
      </w:r>
      <w:r w:rsidRPr="007B29FD">
        <w:rPr>
          <w:rFonts w:hint="eastAsia"/>
          <w:lang w:eastAsia="zh-TW"/>
        </w:rPr>
        <w:t>及投書、縣（懸）人書，恐猲人以求錢財，盜殺傷人，盜發冢，略賣人若已略未賣，橋（矯）相以爲吏，自以爲吏以盜，皆磔。”簡</w:t>
      </w:r>
      <w:r w:rsidRPr="007B29FD">
        <w:rPr>
          <w:lang w:eastAsia="zh-TW"/>
        </w:rPr>
        <w:t>67</w:t>
      </w:r>
      <w:r w:rsidRPr="007B29FD">
        <w:rPr>
          <w:rFonts w:hint="eastAsia"/>
          <w:lang w:eastAsia="zh-TW"/>
        </w:rPr>
        <w:t>：“智（知）人略賣人而與賈，與同罪。不當賣而和爲人賣，賣者皆黥爲城旦舂；買者智（知）其請（情），與同罪。”簡</w:t>
      </w:r>
      <w:r w:rsidRPr="007B29FD">
        <w:rPr>
          <w:lang w:eastAsia="zh-TW"/>
        </w:rPr>
        <w:t>66</w:t>
      </w:r>
      <w:r w:rsidRPr="007B29FD">
        <w:rPr>
          <w:rFonts w:hint="eastAsia"/>
          <w:lang w:eastAsia="zh-TW"/>
        </w:rPr>
        <w:t>“磔”字下尚有大段空白，故《二年律令·盜律》整理者據之將簡</w:t>
      </w:r>
      <w:r w:rsidRPr="007B29FD">
        <w:rPr>
          <w:lang w:eastAsia="zh-TW"/>
        </w:rPr>
        <w:t>65-66</w:t>
      </w:r>
      <w:r w:rsidRPr="007B29FD">
        <w:rPr>
          <w:rFonts w:hint="eastAsia"/>
          <w:lang w:eastAsia="zh-TW"/>
        </w:rPr>
        <w:t>、簡</w:t>
      </w:r>
      <w:r w:rsidRPr="007B29FD">
        <w:rPr>
          <w:lang w:eastAsia="zh-TW"/>
        </w:rPr>
        <w:t>67</w:t>
      </w:r>
      <w:r w:rsidRPr="007B29FD">
        <w:rPr>
          <w:rFonts w:hint="eastAsia"/>
          <w:lang w:eastAsia="zh-TW"/>
        </w:rPr>
        <w:t>分爲兩條律文。而胡家草場《盜律》則滿簡抄寫，作爲一條律文。</w:t>
      </w:r>
    </w:p>
    <w:p w14:paraId="4EB5C237" w14:textId="7F157A0C" w:rsidR="00393C80" w:rsidRPr="00393C80" w:rsidRDefault="007B29FD" w:rsidP="007B29FD">
      <w:pPr>
        <w:pStyle w:val="ab"/>
        <w:ind w:firstLine="560"/>
      </w:pPr>
      <w:r w:rsidRPr="007B29FD">
        <w:rPr>
          <w:rFonts w:hint="eastAsia"/>
          <w:lang w:eastAsia="zh-TW"/>
        </w:rPr>
        <w:t>針對上述不同，何有祖、李志芳二位先生認爲：“從文意看，《二年律令·盜律》</w:t>
      </w:r>
      <w:r w:rsidRPr="007B29FD">
        <w:rPr>
          <w:lang w:eastAsia="zh-TW"/>
        </w:rPr>
        <w:t>66</w:t>
      </w:r>
      <w:r w:rsidRPr="007B29FD">
        <w:rPr>
          <w:rFonts w:hint="eastAsia"/>
          <w:lang w:eastAsia="zh-TW"/>
        </w:rPr>
        <w:t>號簡‘略賣人若已略未賣’、</w:t>
      </w:r>
      <w:r w:rsidRPr="007B29FD">
        <w:rPr>
          <w:lang w:eastAsia="zh-TW"/>
        </w:rPr>
        <w:t>67</w:t>
      </w:r>
      <w:r w:rsidRPr="007B29FD">
        <w:rPr>
          <w:rFonts w:hint="eastAsia"/>
          <w:lang w:eastAsia="zh-TW"/>
        </w:rPr>
        <w:t>號簡‘智（知）人略賣人而與賈’，在邏輯上存在先後關係。由此可知，胡家草場漢律的抄手在</w:t>
      </w:r>
      <w:r>
        <w:rPr>
          <w:rFonts w:asciiTheme="minorEastAsia" w:eastAsiaTheme="minorEastAsia" w:hAnsiTheme="minorEastAsia" w:hint="eastAsia"/>
          <w:lang w:eastAsia="zh-TW"/>
        </w:rPr>
        <w:t>謄</w:t>
      </w:r>
      <w:r w:rsidRPr="007B29FD">
        <w:rPr>
          <w:rFonts w:hint="eastAsia"/>
          <w:lang w:eastAsia="zh-TW"/>
        </w:rPr>
        <w:t>抄類似《二年律令·盜律》</w:t>
      </w:r>
      <w:r w:rsidRPr="007B29FD">
        <w:rPr>
          <w:lang w:eastAsia="zh-TW"/>
        </w:rPr>
        <w:t>65-66</w:t>
      </w:r>
      <w:r w:rsidRPr="007B29FD">
        <w:rPr>
          <w:rFonts w:hint="eastAsia"/>
          <w:lang w:eastAsia="zh-TW"/>
        </w:rPr>
        <w:t>、</w:t>
      </w:r>
      <w:r w:rsidRPr="007B29FD">
        <w:rPr>
          <w:lang w:eastAsia="zh-TW"/>
        </w:rPr>
        <w:t>67</w:t>
      </w:r>
      <w:r w:rsidRPr="007B29FD">
        <w:rPr>
          <w:rFonts w:hint="eastAsia"/>
          <w:lang w:eastAsia="zh-TW"/>
        </w:rPr>
        <w:t>號簡這樣文本的時候，連續抄寫，把這幾枚簡看作同一個編聯組。這提示我們，《二年律令·盜律》</w:t>
      </w:r>
      <w:r w:rsidRPr="007B29FD">
        <w:rPr>
          <w:lang w:eastAsia="zh-TW"/>
        </w:rPr>
        <w:t>66</w:t>
      </w:r>
      <w:r w:rsidRPr="007B29FD">
        <w:rPr>
          <w:rFonts w:hint="eastAsia"/>
          <w:lang w:eastAsia="zh-TW"/>
        </w:rPr>
        <w:t>號簡雖然不是滿簡書寫，其後也有可能與</w:t>
      </w:r>
      <w:r w:rsidRPr="007B29FD">
        <w:rPr>
          <w:lang w:eastAsia="zh-TW"/>
        </w:rPr>
        <w:t>67</w:t>
      </w:r>
      <w:r w:rsidRPr="007B29FD">
        <w:rPr>
          <w:rFonts w:hint="eastAsia"/>
          <w:lang w:eastAsia="zh-TW"/>
        </w:rPr>
        <w:t>號簡編聯。”</w:t>
      </w:r>
      <w:r w:rsidRPr="007B29FD">
        <w:rPr>
          <w:sz w:val="18"/>
          <w:lang w:eastAsia="zh-TW"/>
        </w:rPr>
        <w:t xml:space="preserve"> </w:t>
      </w:r>
      <w:r w:rsidR="00393C80" w:rsidRPr="00393C80">
        <w:rPr>
          <w:sz w:val="18"/>
          <w:vertAlign w:val="superscript"/>
        </w:rPr>
        <w:endnoteReference w:id="3"/>
      </w:r>
    </w:p>
    <w:p w14:paraId="2DE899B1" w14:textId="28A24473" w:rsidR="00393C80" w:rsidRPr="00393C80" w:rsidRDefault="007B29FD" w:rsidP="00BF370B">
      <w:pPr>
        <w:pStyle w:val="ab"/>
        <w:ind w:firstLine="560"/>
        <w:rPr>
          <w:lang w:eastAsia="zh-TW"/>
        </w:rPr>
      </w:pPr>
      <w:r w:rsidRPr="007B29FD">
        <w:rPr>
          <w:rFonts w:hint="eastAsia"/>
          <w:lang w:eastAsia="zh-TW"/>
        </w:rPr>
        <w:t>我們認爲從律文內容、從抄寫情况來看《二年律令·盜律》簡</w:t>
      </w:r>
      <w:r w:rsidRPr="007B29FD">
        <w:rPr>
          <w:lang w:eastAsia="zh-TW"/>
        </w:rPr>
        <w:t>65-66</w:t>
      </w:r>
      <w:r w:rsidRPr="007B29FD">
        <w:rPr>
          <w:rFonts w:hint="eastAsia"/>
          <w:lang w:eastAsia="zh-TW"/>
        </w:rPr>
        <w:t>、簡</w:t>
      </w:r>
      <w:r w:rsidRPr="007B29FD">
        <w:rPr>
          <w:lang w:eastAsia="zh-TW"/>
        </w:rPr>
        <w:t>67</w:t>
      </w:r>
      <w:r w:rsidRPr="007B29FD">
        <w:rPr>
          <w:rFonts w:hint="eastAsia"/>
          <w:lang w:eastAsia="zh-TW"/>
        </w:rPr>
        <w:t>似仍應看成是兩條律文。張家山漢簡《二年律令》時代在呂</w:t>
      </w:r>
      <w:r>
        <w:rPr>
          <w:rFonts w:asciiTheme="minorEastAsia" w:eastAsiaTheme="minorEastAsia" w:hAnsiTheme="minorEastAsia" w:hint="eastAsia"/>
          <w:lang w:eastAsia="zh-TW"/>
        </w:rPr>
        <w:t>后</w:t>
      </w:r>
      <w:r w:rsidRPr="007B29FD">
        <w:rPr>
          <w:rFonts w:hint="eastAsia"/>
          <w:lang w:eastAsia="zh-TW"/>
        </w:rPr>
        <w:t>二年，胡家草場律令則在文帝</w:t>
      </w:r>
      <w:r w:rsidRPr="007B29FD">
        <w:rPr>
          <w:rFonts w:hint="eastAsia"/>
          <w:color w:val="000000"/>
          <w:shd w:val="clear" w:color="auto" w:fill="FCFCFC"/>
          <w:lang w:eastAsia="zh-TW"/>
        </w:rPr>
        <w:t>前元十六年左右，</w:t>
      </w:r>
      <w:r w:rsidRPr="007B29FD">
        <w:rPr>
          <w:rFonts w:hint="eastAsia"/>
          <w:lang w:eastAsia="zh-TW"/>
        </w:rPr>
        <w:t>從已經公布的律文來看，後者對前者不僅僅是繼承，而是有不少修訂。這些修訂或</w:t>
      </w:r>
      <w:r w:rsidRPr="007B29FD">
        <w:rPr>
          <w:rFonts w:hint="eastAsia"/>
          <w:lang w:eastAsia="zh-TW"/>
        </w:rPr>
        <w:lastRenderedPageBreak/>
        <w:t>涉及文字、或涉及判罰標準，有的律文甚至還有重寫的現象。</w:t>
      </w:r>
    </w:p>
    <w:p w14:paraId="4F5CE062" w14:textId="42DDA68C" w:rsidR="00393C80" w:rsidRPr="00393C80" w:rsidRDefault="007B29FD" w:rsidP="00BF370B">
      <w:pPr>
        <w:pStyle w:val="ab"/>
        <w:ind w:firstLine="560"/>
        <w:rPr>
          <w:lang w:eastAsia="zh-TW"/>
        </w:rPr>
      </w:pPr>
      <w:r w:rsidRPr="007B29FD">
        <w:rPr>
          <w:rFonts w:hint="eastAsia"/>
          <w:lang w:eastAsia="zh-TW"/>
        </w:rPr>
        <w:t>如《二年律令·賊律》簡</w:t>
      </w:r>
      <w:r w:rsidRPr="007B29FD">
        <w:rPr>
          <w:lang w:eastAsia="zh-TW"/>
        </w:rPr>
        <w:t>4-5</w:t>
      </w:r>
      <w:r w:rsidRPr="007B29FD">
        <w:rPr>
          <w:rFonts w:hint="eastAsia"/>
          <w:lang w:eastAsia="zh-TW"/>
        </w:rPr>
        <w:t>：“賊燔城、官府及縣官積冣（聚），</w:t>
      </w:r>
      <w:r>
        <w:rPr>
          <w:rFonts w:asciiTheme="minorEastAsia" w:eastAsiaTheme="minorEastAsia" w:hAnsiTheme="minorEastAsia" w:hint="eastAsia"/>
          <w:lang w:eastAsia="zh-TW"/>
        </w:rPr>
        <w:t>棄</w:t>
      </w:r>
      <w:r w:rsidRPr="007B29FD">
        <w:rPr>
          <w:rFonts w:hint="eastAsia"/>
          <w:lang w:eastAsia="zh-TW"/>
        </w:rPr>
        <w:t>市。賊燔寺舍、民室屋、廬舍㝡（聚），黥爲城旦舂。其失火延燔之，罰金四兩，責（債）所燔。鄉部、官嗇夫、吏主者弗得，罰金各二兩。”</w:t>
      </w:r>
      <w:r w:rsidRPr="007B29FD">
        <w:rPr>
          <w:lang w:eastAsia="zh-TW"/>
        </w:rPr>
        <w:t xml:space="preserve"> </w:t>
      </w:r>
      <w:r w:rsidRPr="007B29FD">
        <w:rPr>
          <w:rFonts w:hint="eastAsia"/>
          <w:lang w:eastAsia="zh-TW"/>
        </w:rPr>
        <w:t>胡家草場《賊律》公布的一枚簡</w:t>
      </w:r>
      <w:r w:rsidRPr="007B29FD">
        <w:rPr>
          <w:lang w:eastAsia="zh-TW"/>
        </w:rPr>
        <w:t>1260</w:t>
      </w:r>
      <w:r w:rsidRPr="007B29FD">
        <w:rPr>
          <w:rFonts w:hint="eastAsia"/>
          <w:lang w:eastAsia="zh-TW"/>
        </w:rPr>
        <w:t>：“</w:t>
      </w:r>
      <w:r w:rsidRPr="007B29FD">
        <w:rPr>
          <w:rFonts w:hint="eastAsia"/>
          <w:shd w:val="clear" w:color="auto" w:fill="FCFCFC"/>
          <w:lang w:eastAsia="zh-TW"/>
        </w:rPr>
        <w:t>賊燔寺舍、民室屋、廬舍積最</w:t>
      </w:r>
      <w:r w:rsidRPr="007B29FD">
        <w:rPr>
          <w:shd w:val="clear" w:color="auto" w:fill="FCFCFC"/>
          <w:lang w:eastAsia="zh-TW"/>
        </w:rPr>
        <w:t>(</w:t>
      </w:r>
      <w:r w:rsidRPr="007B29FD">
        <w:rPr>
          <w:rFonts w:hint="eastAsia"/>
          <w:shd w:val="clear" w:color="auto" w:fill="FCFCFC"/>
          <w:lang w:eastAsia="zh-TW"/>
        </w:rPr>
        <w:t>聚</w:t>
      </w:r>
      <w:r w:rsidRPr="007B29FD">
        <w:rPr>
          <w:shd w:val="clear" w:color="auto" w:fill="FCFCFC"/>
          <w:lang w:eastAsia="zh-TW"/>
        </w:rPr>
        <w:t>)</w:t>
      </w:r>
      <w:r w:rsidRPr="007B29FD">
        <w:rPr>
          <w:rFonts w:hint="eastAsia"/>
          <w:shd w:val="clear" w:color="auto" w:fill="FCFCFC"/>
          <w:lang w:eastAsia="zh-TW"/>
        </w:rPr>
        <w:t>，髡爲城旦春。其失火延燔之，罰金四兩，責所燔。</w:t>
      </w:r>
      <w:r w:rsidRPr="007B29FD">
        <w:rPr>
          <w:rFonts w:hint="eastAsia"/>
          <w:lang w:eastAsia="zh-TW"/>
        </w:rPr>
        <w:t>”比較可知，後一條律文中將死刑與黥刑罪名</w:t>
      </w:r>
      <w:r w:rsidR="00BF370B">
        <w:rPr>
          <w:rFonts w:asciiTheme="minorEastAsia" w:eastAsiaTheme="minorEastAsia" w:hAnsiTheme="minorEastAsia" w:hint="eastAsia"/>
          <w:lang w:eastAsia="zh-TW"/>
        </w:rPr>
        <w:t>合併</w:t>
      </w:r>
      <w:r w:rsidRPr="007B29FD">
        <w:rPr>
          <w:rFonts w:hint="eastAsia"/>
          <w:lang w:eastAsia="zh-TW"/>
        </w:rPr>
        <w:t>，又因文帝廢除肉刑而一幷修改爲髡刑。</w:t>
      </w:r>
    </w:p>
    <w:p w14:paraId="3918FB93" w14:textId="2BC18BCE" w:rsidR="00393C80" w:rsidRPr="00393C80" w:rsidRDefault="00BF370B" w:rsidP="00CF2835">
      <w:pPr>
        <w:pStyle w:val="ab"/>
        <w:ind w:firstLine="560"/>
      </w:pPr>
      <w:r w:rsidRPr="00BF370B">
        <w:rPr>
          <w:rFonts w:hint="eastAsia"/>
          <w:lang w:eastAsia="zh-TW"/>
        </w:rPr>
        <w:t>又《二年律令·亡律》匿罪人律（簡</w:t>
      </w:r>
      <w:r w:rsidRPr="00BF370B">
        <w:rPr>
          <w:lang w:eastAsia="zh-TW"/>
        </w:rPr>
        <w:t>167</w:t>
      </w:r>
      <w:r w:rsidRPr="00BF370B">
        <w:rPr>
          <w:rFonts w:hint="eastAsia"/>
          <w:lang w:eastAsia="zh-TW"/>
        </w:rPr>
        <w:t>）、娶亡人律（簡</w:t>
      </w:r>
      <w:r w:rsidRPr="00BF370B">
        <w:rPr>
          <w:lang w:eastAsia="zh-TW"/>
        </w:rPr>
        <w:t>168-169</w:t>
      </w:r>
      <w:r w:rsidRPr="00BF370B">
        <w:rPr>
          <w:rFonts w:hint="eastAsia"/>
          <w:lang w:eastAsia="zh-TW"/>
        </w:rPr>
        <w:t>）、舍亡人律（簡</w:t>
      </w:r>
      <w:r w:rsidRPr="00BF370B">
        <w:rPr>
          <w:lang w:eastAsia="zh-TW"/>
        </w:rPr>
        <w:t>170-171</w:t>
      </w:r>
      <w:r w:rsidRPr="00BF370B">
        <w:rPr>
          <w:rFonts w:hint="eastAsia"/>
          <w:lang w:eastAsia="zh-TW"/>
        </w:rPr>
        <w:t>）、取亡罪人爲庸律（簡</w:t>
      </w:r>
      <w:r w:rsidRPr="00BF370B">
        <w:rPr>
          <w:lang w:eastAsia="zh-TW"/>
        </w:rPr>
        <w:t>172</w:t>
      </w:r>
      <w:r w:rsidRPr="00BF370B">
        <w:rPr>
          <w:rFonts w:hint="eastAsia"/>
          <w:lang w:eastAsia="zh-TW"/>
        </w:rPr>
        <w:t>），皆別爲一條律文。如簡</w:t>
      </w:r>
      <w:r w:rsidRPr="00BF370B">
        <w:rPr>
          <w:lang w:eastAsia="zh-TW"/>
        </w:rPr>
        <w:t>167</w:t>
      </w:r>
      <w:r w:rsidRPr="00BF370B">
        <w:rPr>
          <w:rFonts w:hint="eastAsia"/>
          <w:lang w:eastAsia="zh-TW"/>
        </w:rPr>
        <w:t>：“匿罪人，死罪，黥爲城旦舂，它各與同罪。其所匿未去而告之，除。諸舍匿罪人，罪人自出，若先自告，罪减，亦减舍匿者罪。……”簡</w:t>
      </w:r>
      <w:r w:rsidRPr="00BF370B">
        <w:rPr>
          <w:lang w:eastAsia="zh-TW"/>
        </w:rPr>
        <w:t>168-169</w:t>
      </w:r>
      <w:r w:rsidRPr="00BF370B">
        <w:rPr>
          <w:rFonts w:hint="eastAsia"/>
          <w:lang w:eastAsia="zh-TW"/>
        </w:rPr>
        <w:t>：“取（娶）人妻及亡人以爲妻，及爲亡人妻，取（娶）及所取（娶），爲謀（媒）者，智（知）其請（情）皆黥以爲城旦舂。其真罪重，以匿罪人律論。……”其中娶亡人律條明確規定“其真罪重，以匿罪人律論”，這表明匿罪人律當與娶亡人律分爲不同的律條。簡</w:t>
      </w:r>
      <w:r w:rsidRPr="00BF370B">
        <w:rPr>
          <w:lang w:eastAsia="zh-TW"/>
        </w:rPr>
        <w:t>170-171</w:t>
      </w:r>
      <w:r w:rsidRPr="00BF370B">
        <w:rPr>
          <w:rFonts w:hint="eastAsia"/>
          <w:lang w:eastAsia="zh-TW"/>
        </w:rPr>
        <w:t>：“諸舍亡人及罪人亡者，不智（知）其亡，盈五日以上，所舍罪當黥……”簡</w:t>
      </w:r>
      <w:r w:rsidRPr="00BF370B">
        <w:rPr>
          <w:lang w:eastAsia="zh-TW"/>
        </w:rPr>
        <w:t>172</w:t>
      </w:r>
      <w:r w:rsidRPr="00BF370B">
        <w:rPr>
          <w:rFonts w:hint="eastAsia"/>
          <w:lang w:eastAsia="zh-TW"/>
        </w:rPr>
        <w:t>：“取亡罪人爲庸，不</w:t>
      </w:r>
      <w:r w:rsidRPr="00BF370B">
        <w:rPr>
          <w:rFonts w:hint="eastAsia"/>
          <w:lang w:eastAsia="zh-TW"/>
        </w:rPr>
        <w:lastRenderedPageBreak/>
        <w:t>智（知）其亡，以舍亡人律論之。所舍取未去，若已去後，智（知）其請（情）而捕告，及詷</w:t>
      </w:r>
      <w:r w:rsidRPr="00BF370B">
        <w:rPr>
          <w:lang w:eastAsia="zh-TW"/>
        </w:rPr>
        <w:t>&lt;</w:t>
      </w:r>
      <w:r w:rsidRPr="00BF370B">
        <w:rPr>
          <w:rFonts w:hint="eastAsia"/>
          <w:lang w:eastAsia="zh-TW"/>
        </w:rPr>
        <w:t>詗</w:t>
      </w:r>
      <w:r w:rsidRPr="00BF370B">
        <w:rPr>
          <w:lang w:eastAsia="zh-TW"/>
        </w:rPr>
        <w:t>&gt;</w:t>
      </w:r>
      <w:r w:rsidRPr="00BF370B">
        <w:rPr>
          <w:rFonts w:hint="eastAsia"/>
          <w:lang w:eastAsia="zh-TW"/>
        </w:rPr>
        <w:t>告吏捕得之，皆除其罪，勿購。”</w:t>
      </w:r>
      <w:r w:rsidRPr="00BF370B">
        <w:rPr>
          <w:lang w:eastAsia="zh-TW"/>
        </w:rPr>
        <w:t xml:space="preserve"> </w:t>
      </w:r>
      <w:r w:rsidRPr="00BF370B">
        <w:rPr>
          <w:rFonts w:hint="eastAsia"/>
          <w:lang w:eastAsia="zh-TW"/>
        </w:rPr>
        <w:t>取亡罪人爲庸律條亦明確規定“以舍亡人律論之”，此亦可證舍亡人律、取亡罪人爲庸律當分爲兩律。目前公布的胡家草場《亡律》簡</w:t>
      </w:r>
      <w:r w:rsidRPr="00BF370B">
        <w:rPr>
          <w:lang w:eastAsia="zh-TW"/>
        </w:rPr>
        <w:t>1329+1328+1332</w:t>
      </w:r>
      <w:r w:rsidRPr="00BF370B">
        <w:rPr>
          <w:rFonts w:hint="eastAsia"/>
          <w:lang w:eastAsia="zh-TW"/>
        </w:rPr>
        <w:t>則作：“匿罪人，各與同罪。舍若取（娶）亡罪人爲庸，不智（知）其亡，盈五日，罪司寇以上，各以其贖論之。所匿、舍、取（娶）未去，若已去後智（知）其請（情），而捕若詗告吏</w:t>
      </w:r>
      <w:r w:rsidRPr="00BF370B">
        <w:rPr>
          <w:rFonts w:ascii="华文楷体" w:hAnsi="华文楷体" w:hint="eastAsia"/>
          <w:vertAlign w:val="subscript"/>
          <w:lang w:eastAsia="zh-TW"/>
        </w:rPr>
        <w:t>＝</w:t>
      </w:r>
      <w:r w:rsidRPr="00BF370B">
        <w:rPr>
          <w:rFonts w:hint="eastAsia"/>
          <w:lang w:eastAsia="zh-TW"/>
        </w:rPr>
        <w:t>（吏，吏）捕得之，及所匿、舍、取（娶）者自出，若先自告，皆除匿、舍、取（娶）者罪，勿購賞。……”比較可知，胡家草場《亡律》幷未出現“以匿罪人律論”、“以舍亡人律論之”這類表述，律文亦已完全</w:t>
      </w:r>
      <w:r>
        <w:rPr>
          <w:rFonts w:asciiTheme="minorEastAsia" w:eastAsiaTheme="minorEastAsia" w:hAnsiTheme="minorEastAsia" w:hint="eastAsia"/>
          <w:lang w:eastAsia="zh-TW"/>
        </w:rPr>
        <w:t>合併</w:t>
      </w:r>
      <w:r w:rsidRPr="00BF370B">
        <w:rPr>
          <w:rFonts w:hint="eastAsia"/>
          <w:lang w:eastAsia="zh-TW"/>
        </w:rPr>
        <w:t>、簡化。此外，胡家草場《亡律》判罰僅有贖刑而無《二年律令·亡律》之黥刑，亦與文帝廢除肉刑有關。因此，胡家草場《亡律》在《二年律令·亡律》基礎上有重大修改，其結果是將《二年律令·亡律》前述四條律文簡化、合</w:t>
      </w:r>
      <w:r w:rsidR="00CF2835">
        <w:rPr>
          <w:rFonts w:asciiTheme="minorEastAsia" w:eastAsiaTheme="minorEastAsia" w:hAnsiTheme="minorEastAsia" w:hint="eastAsia"/>
          <w:lang w:eastAsia="zh-TW"/>
        </w:rPr>
        <w:t>併</w:t>
      </w:r>
      <w:r w:rsidRPr="00BF370B">
        <w:rPr>
          <w:rFonts w:hint="eastAsia"/>
          <w:lang w:eastAsia="zh-TW"/>
        </w:rPr>
        <w:t>爲一條律文了。從此例可以看出胡家草場漢律在律條的分合上與張家山漢簡《二年律令》有較大的不同，以後出漢律來判定前世漢律情况不一定合適。</w:t>
      </w:r>
    </w:p>
    <w:p w14:paraId="0E78066E" w14:textId="7F4C8ADC" w:rsidR="00393C80" w:rsidRPr="00393C80" w:rsidRDefault="00BF370B" w:rsidP="00CF2835">
      <w:pPr>
        <w:pStyle w:val="ab"/>
        <w:ind w:firstLine="560"/>
        <w:rPr>
          <w:lang w:eastAsia="zh-TW"/>
        </w:rPr>
      </w:pPr>
      <w:r w:rsidRPr="00BF370B">
        <w:rPr>
          <w:rFonts w:hint="eastAsia"/>
          <w:lang w:eastAsia="zh-TW"/>
        </w:rPr>
        <w:t>此外，據上引胡家草場《亡律》可以糾正《二年律令·亡律》簡</w:t>
      </w:r>
      <w:r w:rsidRPr="00BF370B">
        <w:rPr>
          <w:lang w:eastAsia="zh-TW"/>
        </w:rPr>
        <w:t>172</w:t>
      </w:r>
      <w:r w:rsidRPr="00BF370B">
        <w:rPr>
          <w:rFonts w:hint="eastAsia"/>
          <w:lang w:eastAsia="zh-TW"/>
        </w:rPr>
        <w:t>的一處錯誤。胡家草場《亡律》有“而捕若詗告吏</w:t>
      </w:r>
      <w:r w:rsidRPr="00BF370B">
        <w:rPr>
          <w:rFonts w:ascii="华文楷体" w:hAnsi="华文楷体" w:hint="eastAsia"/>
          <w:vertAlign w:val="subscript"/>
          <w:lang w:eastAsia="zh-TW"/>
        </w:rPr>
        <w:t>＝</w:t>
      </w:r>
      <w:r w:rsidRPr="00BF370B">
        <w:rPr>
          <w:rFonts w:hint="eastAsia"/>
          <w:lang w:eastAsia="zh-TW"/>
        </w:rPr>
        <w:t>（吏，吏）</w:t>
      </w:r>
      <w:r w:rsidRPr="00BF370B">
        <w:rPr>
          <w:rFonts w:hint="eastAsia"/>
          <w:lang w:eastAsia="zh-TW"/>
        </w:rPr>
        <w:lastRenderedPageBreak/>
        <w:t>捕得之”一句，正可與上引《二年律令·亡律》律文“及詷</w:t>
      </w:r>
      <w:r w:rsidRPr="00BF370B">
        <w:rPr>
          <w:lang w:eastAsia="zh-TW"/>
        </w:rPr>
        <w:t>&lt;</w:t>
      </w:r>
      <w:r w:rsidRPr="00BF370B">
        <w:rPr>
          <w:rFonts w:hint="eastAsia"/>
          <w:lang w:eastAsia="zh-TW"/>
        </w:rPr>
        <w:t>詗</w:t>
      </w:r>
      <w:r w:rsidRPr="00BF370B">
        <w:rPr>
          <w:lang w:eastAsia="zh-TW"/>
        </w:rPr>
        <w:t>&gt;</w:t>
      </w:r>
      <w:r w:rsidRPr="00BF370B">
        <w:rPr>
          <w:rFonts w:hint="eastAsia"/>
          <w:lang w:eastAsia="zh-TW"/>
        </w:rPr>
        <w:t>告吏捕得之”相應。《二年律令·盜律》簡</w:t>
      </w:r>
      <w:r w:rsidRPr="00BF370B">
        <w:rPr>
          <w:lang w:eastAsia="zh-TW"/>
        </w:rPr>
        <w:t>71</w:t>
      </w:r>
      <w:r w:rsidRPr="00BF370B">
        <w:rPr>
          <w:rFonts w:hint="eastAsia"/>
          <w:lang w:eastAsia="zh-TW"/>
        </w:rPr>
        <w:t>還有“若告吏</w:t>
      </w:r>
      <w:r w:rsidRPr="00BF370B">
        <w:rPr>
          <w:rFonts w:ascii="华文楷体" w:hAnsi="华文楷体" w:hint="eastAsia"/>
          <w:vertAlign w:val="subscript"/>
          <w:lang w:eastAsia="zh-TW"/>
        </w:rPr>
        <w:t>＝</w:t>
      </w:r>
      <w:r w:rsidRPr="00BF370B">
        <w:rPr>
          <w:rFonts w:hint="eastAsia"/>
          <w:lang w:eastAsia="zh-TW"/>
        </w:rPr>
        <w:t>（吏，吏）捕頗得之”。比較可知《二年律令·亡律》原釋文“及詷</w:t>
      </w:r>
      <w:r w:rsidRPr="00BF370B">
        <w:rPr>
          <w:lang w:eastAsia="zh-TW"/>
        </w:rPr>
        <w:t>&lt;</w:t>
      </w:r>
      <w:r w:rsidRPr="00BF370B">
        <w:rPr>
          <w:rFonts w:hint="eastAsia"/>
          <w:lang w:eastAsia="zh-TW"/>
        </w:rPr>
        <w:t>詗</w:t>
      </w:r>
      <w:r w:rsidRPr="00BF370B">
        <w:rPr>
          <w:lang w:eastAsia="zh-TW"/>
        </w:rPr>
        <w:t>&gt;</w:t>
      </w:r>
      <w:r w:rsidRPr="00BF370B">
        <w:rPr>
          <w:rFonts w:hint="eastAsia"/>
          <w:lang w:eastAsia="zh-TW"/>
        </w:rPr>
        <w:t>告吏捕得之”之“吏”下漏一重文號。查原簡“吏”字所在簡文紅外綫照作</w:t>
      </w:r>
      <w:r w:rsidR="00393C80" w:rsidRPr="00393C80">
        <w:rPr>
          <w:noProof/>
        </w:rPr>
        <w:drawing>
          <wp:inline distT="0" distB="0" distL="0" distR="0" wp14:anchorId="1BAC2E89" wp14:editId="3781F897">
            <wp:extent cx="296635" cy="457200"/>
            <wp:effectExtent l="0" t="0" r="8255" b="0"/>
            <wp:docPr id="2" name="图片 2" descr="C:\Users\admin\Desktop\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 1.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6162" cy="471884"/>
                    </a:xfrm>
                    <a:prstGeom prst="rect">
                      <a:avLst/>
                    </a:prstGeom>
                    <a:noFill/>
                    <a:ln>
                      <a:noFill/>
                    </a:ln>
                  </pic:spPr>
                </pic:pic>
              </a:graphicData>
            </a:graphic>
          </wp:inline>
        </w:drawing>
      </w:r>
      <w:r w:rsidRPr="00BF370B">
        <w:rPr>
          <w:rFonts w:hint="eastAsia"/>
          <w:lang w:eastAsia="zh-TW"/>
        </w:rPr>
        <w:t>，確有重文號。故此處原釋文當校改爲“及詷</w:t>
      </w:r>
      <w:r w:rsidRPr="00BF370B">
        <w:rPr>
          <w:lang w:eastAsia="zh-TW"/>
        </w:rPr>
        <w:t>&lt;</w:t>
      </w:r>
      <w:r w:rsidRPr="00BF370B">
        <w:rPr>
          <w:rFonts w:hint="eastAsia"/>
          <w:lang w:eastAsia="zh-TW"/>
        </w:rPr>
        <w:t>詗</w:t>
      </w:r>
      <w:r w:rsidRPr="00BF370B">
        <w:rPr>
          <w:lang w:eastAsia="zh-TW"/>
        </w:rPr>
        <w:t>&gt;</w:t>
      </w:r>
      <w:r w:rsidRPr="00BF370B">
        <w:rPr>
          <w:rFonts w:hint="eastAsia"/>
          <w:lang w:eastAsia="zh-TW"/>
        </w:rPr>
        <w:t>告吏</w:t>
      </w:r>
      <w:r w:rsidRPr="00BF370B">
        <w:rPr>
          <w:rFonts w:ascii="华文楷体" w:hAnsi="华文楷体" w:hint="eastAsia"/>
          <w:vertAlign w:val="subscript"/>
          <w:lang w:eastAsia="zh-TW"/>
        </w:rPr>
        <w:t>＝</w:t>
      </w:r>
      <w:r w:rsidRPr="00BF370B">
        <w:rPr>
          <w:rFonts w:hint="eastAsia"/>
          <w:lang w:eastAsia="zh-TW"/>
        </w:rPr>
        <w:t>（吏，吏）捕得之”。</w:t>
      </w:r>
    </w:p>
    <w:p w14:paraId="2D9B5D23" w14:textId="74CDED19" w:rsidR="00393C80" w:rsidRPr="00393C80" w:rsidRDefault="00CF2835" w:rsidP="00CF2835">
      <w:pPr>
        <w:pStyle w:val="ab"/>
        <w:ind w:firstLine="560"/>
        <w:rPr>
          <w:lang w:eastAsia="zh-TW"/>
        </w:rPr>
      </w:pPr>
      <w:r w:rsidRPr="00CF2835">
        <w:rPr>
          <w:rFonts w:hint="eastAsia"/>
          <w:lang w:eastAsia="zh-TW"/>
        </w:rPr>
        <w:t>再來看上引《二年律令·盜律》律文。簡</w:t>
      </w:r>
      <w:r w:rsidRPr="00CF2835">
        <w:rPr>
          <w:lang w:eastAsia="zh-TW"/>
        </w:rPr>
        <w:t>65-66</w:t>
      </w:r>
      <w:r w:rsidRPr="00CF2835">
        <w:rPr>
          <w:rFonts w:hint="eastAsia"/>
          <w:lang w:eastAsia="zh-TW"/>
        </w:rPr>
        <w:t>所述乃重罪，皆處以死刑；簡</w:t>
      </w:r>
      <w:r w:rsidRPr="00CF2835">
        <w:rPr>
          <w:lang w:eastAsia="zh-TW"/>
        </w:rPr>
        <w:t>67</w:t>
      </w:r>
      <w:r w:rsidRPr="00CF2835">
        <w:rPr>
          <w:rFonts w:hint="eastAsia"/>
          <w:lang w:eastAsia="zh-TW"/>
        </w:rPr>
        <w:t>所述在當時被認爲罪行較輕，處以黥刑。兩處雖有“略賣人”等語句重見，但其性質、判罰有別，故可分爲兩律。胡家草場《盜律》針對奴婢買賣現象一律處以極刑，後一類罪行亦被處以死刑，故合二律爲一律。胡家草場《盜律》對《二年律令·盜律》進行了重新改寫，二者在文句、判罰標準方面皆存在明顯差</w:t>
      </w:r>
      <w:r>
        <w:rPr>
          <w:rFonts w:asciiTheme="minorEastAsia" w:eastAsiaTheme="minorEastAsia" w:hAnsiTheme="minorEastAsia" w:hint="eastAsia"/>
          <w:lang w:eastAsia="zh-TW"/>
        </w:rPr>
        <w:t>異</w:t>
      </w:r>
      <w:r w:rsidRPr="00CF2835">
        <w:rPr>
          <w:rFonts w:hint="eastAsia"/>
          <w:lang w:eastAsia="zh-TW"/>
        </w:rPr>
        <w:t>，故後出律令相關內容變成一條律文，</w:t>
      </w:r>
      <w:r>
        <w:rPr>
          <w:rFonts w:asciiTheme="minorEastAsia" w:eastAsiaTheme="minorEastAsia" w:hAnsiTheme="minorEastAsia" w:hint="eastAsia"/>
          <w:lang w:eastAsia="zh-TW"/>
        </w:rPr>
        <w:t>並</w:t>
      </w:r>
      <w:r w:rsidRPr="00CF2835">
        <w:rPr>
          <w:rFonts w:hint="eastAsia"/>
          <w:lang w:eastAsia="zh-TW"/>
        </w:rPr>
        <w:t>不足以證明前世律令也應看成一條律文。從張家山漢簡《二年律令》的抄寫來看，其對于律條的分合是頗爲明確的。簡</w:t>
      </w:r>
      <w:r w:rsidRPr="00CF2835">
        <w:rPr>
          <w:lang w:eastAsia="zh-TW"/>
        </w:rPr>
        <w:t>66</w:t>
      </w:r>
      <w:r w:rsidRPr="00CF2835">
        <w:rPr>
          <w:rFonts w:hint="eastAsia"/>
          <w:lang w:eastAsia="zh-TW"/>
        </w:rPr>
        <w:t>以“皆磔”絕句，文意已足，其下留有大段空白而不接抄，可知抄寫者亦是將簡</w:t>
      </w:r>
      <w:r w:rsidRPr="00CF2835">
        <w:rPr>
          <w:lang w:eastAsia="zh-TW"/>
        </w:rPr>
        <w:t>65-66</w:t>
      </w:r>
      <w:r w:rsidRPr="00CF2835">
        <w:rPr>
          <w:rFonts w:hint="eastAsia"/>
          <w:lang w:eastAsia="zh-TW"/>
        </w:rPr>
        <w:t>、簡</w:t>
      </w:r>
      <w:r w:rsidRPr="00CF2835">
        <w:rPr>
          <w:lang w:eastAsia="zh-TW"/>
        </w:rPr>
        <w:t>67</w:t>
      </w:r>
      <w:r w:rsidRPr="00CF2835">
        <w:rPr>
          <w:rFonts w:hint="eastAsia"/>
          <w:lang w:eastAsia="zh-TW"/>
        </w:rPr>
        <w:t>分爲兩條律文的。總之，我們認爲簡</w:t>
      </w:r>
      <w:r w:rsidRPr="00CF2835">
        <w:rPr>
          <w:lang w:eastAsia="zh-TW"/>
        </w:rPr>
        <w:t>65-66</w:t>
      </w:r>
      <w:r w:rsidRPr="00CF2835">
        <w:rPr>
          <w:rFonts w:hint="eastAsia"/>
          <w:lang w:eastAsia="zh-TW"/>
        </w:rPr>
        <w:t>、簡</w:t>
      </w:r>
      <w:r w:rsidRPr="00CF2835">
        <w:rPr>
          <w:lang w:eastAsia="zh-TW"/>
        </w:rPr>
        <w:t>67</w:t>
      </w:r>
      <w:r w:rsidRPr="00CF2835">
        <w:rPr>
          <w:rFonts w:hint="eastAsia"/>
          <w:lang w:eastAsia="zh-TW"/>
        </w:rPr>
        <w:t>不應連讀，仍應分開看成兩律較爲妥當。</w:t>
      </w:r>
    </w:p>
    <w:p w14:paraId="3C50E3E1" w14:textId="1A5AF632" w:rsidR="00393C80" w:rsidRPr="00393C80" w:rsidRDefault="00CF2835" w:rsidP="00CF2835">
      <w:pPr>
        <w:pStyle w:val="ab"/>
        <w:ind w:firstLine="560"/>
      </w:pPr>
      <w:r w:rsidRPr="00CF2835">
        <w:rPr>
          <w:rFonts w:hint="eastAsia"/>
          <w:lang w:eastAsia="zh-TW"/>
        </w:rPr>
        <w:t>何有祖等先生還據胡家草場《賜律》，認爲《二年律令·賜律》</w:t>
      </w:r>
      <w:r w:rsidRPr="00CF2835">
        <w:rPr>
          <w:rFonts w:hint="eastAsia"/>
          <w:lang w:eastAsia="zh-TW"/>
        </w:rPr>
        <w:lastRenderedPageBreak/>
        <w:t>也存在不是滿簡書寫而應連讀的現象，此處一幷討論之。</w:t>
      </w:r>
    </w:p>
    <w:p w14:paraId="0642F241" w14:textId="1C333C6D" w:rsidR="00393C80" w:rsidRPr="00393C80" w:rsidRDefault="00CF2835" w:rsidP="00CF2835">
      <w:pPr>
        <w:pStyle w:val="ab"/>
        <w:ind w:firstLine="560"/>
        <w:rPr>
          <w:lang w:eastAsia="zh-TW"/>
        </w:rPr>
      </w:pPr>
      <w:r w:rsidRPr="00CF2835">
        <w:rPr>
          <w:rFonts w:hint="eastAsia"/>
          <w:lang w:eastAsia="zh-TW"/>
        </w:rPr>
        <w:t>《二年律令·賜律》簡</w:t>
      </w:r>
      <w:r w:rsidRPr="00CF2835">
        <w:rPr>
          <w:lang w:eastAsia="zh-TW"/>
        </w:rPr>
        <w:t>282-284</w:t>
      </w:r>
      <w:r w:rsidRPr="00CF2835">
        <w:rPr>
          <w:rFonts w:hint="eastAsia"/>
          <w:lang w:eastAsia="zh-TW"/>
        </w:rPr>
        <w:t>：“賜衣者六丈四尺、緣五尺、絮三斤，襦二丈二尺、緣丈、絮二斤。絝（</w:t>
      </w:r>
      <w:r w:rsidR="00331FBE">
        <w:rPr>
          <w:rFonts w:hint="eastAsia"/>
          <w:lang w:eastAsia="zh-TW"/>
        </w:rPr>
        <w:t>袴</w:t>
      </w:r>
      <w:r w:rsidRPr="00CF2835">
        <w:rPr>
          <w:rFonts w:hint="eastAsia"/>
          <w:lang w:eastAsia="zh-TW"/>
        </w:rPr>
        <w:t>）二丈一尺、絮一斤半，……公乘以下縵表，皆帛裏；司寇以下布表、裏。二月盡八月賜衣、襦，勿予裏、絮。二千石吏不起病者，賜衣襦、棺及官衣常（裳）。郡尉，賜衣、棺及官常（裳）。千石至六百石吏死官者，居縣賜棺及官衣。五百石以下至丞、尉死官者，居縣賜棺。”簡</w:t>
      </w:r>
      <w:r w:rsidRPr="00CF2835">
        <w:rPr>
          <w:lang w:eastAsia="zh-TW"/>
        </w:rPr>
        <w:t>285</w:t>
      </w:r>
      <w:r w:rsidRPr="00CF2835">
        <w:rPr>
          <w:rFonts w:hint="eastAsia"/>
          <w:lang w:eastAsia="zh-TW"/>
        </w:rPr>
        <w:t>：“官衣一，用縵六丈四尺，帛裏，毋（無）絮；常（裳）一，用縵二丈。”簡</w:t>
      </w:r>
      <w:r w:rsidRPr="00CF2835">
        <w:rPr>
          <w:lang w:eastAsia="zh-TW"/>
        </w:rPr>
        <w:t>288</w:t>
      </w:r>
      <w:r w:rsidRPr="00CF2835">
        <w:rPr>
          <w:rFonts w:hint="eastAsia"/>
          <w:lang w:eastAsia="zh-TW"/>
        </w:rPr>
        <w:t>：“一室二肂在堂，縣官給一棺；三肂在當（堂），給二棺。”簡</w:t>
      </w:r>
      <w:r w:rsidRPr="00CF2835">
        <w:rPr>
          <w:lang w:eastAsia="zh-TW"/>
        </w:rPr>
        <w:t>289</w:t>
      </w:r>
      <w:r w:rsidRPr="00CF2835">
        <w:rPr>
          <w:rFonts w:hint="eastAsia"/>
          <w:lang w:eastAsia="zh-TW"/>
        </w:rPr>
        <w:t>：“賜棺享（椁）而欲受齋者，卿以上予棺錢級千、享（椁）級六百；五大夫以下棺錢級六百、享（椁）級三百；毋（無）爵者棺錢三百。”《選粹》載胡家草場《賜律》</w:t>
      </w:r>
      <w:r w:rsidRPr="00CF2835">
        <w:rPr>
          <w:lang w:eastAsia="zh-TW"/>
        </w:rPr>
        <w:t>3172+406</w:t>
      </w:r>
      <w:r w:rsidRPr="00CF2835">
        <w:rPr>
          <w:rFonts w:hint="eastAsia"/>
          <w:lang w:eastAsia="zh-TW"/>
        </w:rPr>
        <w:t>有相應內容：“吏二千石以上不起病者，賜衣襦、棺及官衣常（裳）。千石至六百石吏死官者，居縣賜棺及官衣。五百石以下至丞、尉死官者，居縣賜棺。官衣一，用縵六丈四尺，帛裏，毋（無）絮；常（裳）一，用縵二丈。賜棺享（椁）而欲受齋者，卿以上予棺錢級千、郭（椁）級六百；五大夫以下棺錢級六百、享（椁）級三百；毋（無）爵者棺錢三百。一室二肂……”</w:t>
      </w:r>
    </w:p>
    <w:p w14:paraId="51544DFA" w14:textId="1C20FF06" w:rsidR="00393C80" w:rsidRPr="00393C80" w:rsidRDefault="00331FBE" w:rsidP="00057141">
      <w:pPr>
        <w:pStyle w:val="ab"/>
        <w:ind w:firstLine="560"/>
        <w:rPr>
          <w:lang w:eastAsia="zh-TW"/>
        </w:rPr>
      </w:pPr>
      <w:r w:rsidRPr="00331FBE">
        <w:rPr>
          <w:rFonts w:hint="eastAsia"/>
          <w:lang w:eastAsia="zh-TW"/>
        </w:rPr>
        <w:t>何有祖等先生認爲胡家草場《賜律》有“居縣賜棺、官衣一”，</w:t>
      </w:r>
      <w:r w:rsidRPr="00331FBE">
        <w:rPr>
          <w:rFonts w:hint="eastAsia"/>
          <w:lang w:eastAsia="zh-TW"/>
        </w:rPr>
        <w:lastRenderedPageBreak/>
        <w:t>其中“官衣一”應是“賜”賓語，從文例上看簡</w:t>
      </w:r>
      <w:r w:rsidRPr="00331FBE">
        <w:rPr>
          <w:lang w:eastAsia="zh-TW"/>
        </w:rPr>
        <w:t>284</w:t>
      </w:r>
      <w:r w:rsidRPr="00331FBE">
        <w:rPr>
          <w:rFonts w:hint="eastAsia"/>
          <w:lang w:eastAsia="zh-TW"/>
        </w:rPr>
        <w:t>、</w:t>
      </w:r>
      <w:r w:rsidRPr="00331FBE">
        <w:rPr>
          <w:lang w:eastAsia="zh-TW"/>
        </w:rPr>
        <w:t>285</w:t>
      </w:r>
      <w:r w:rsidRPr="00331FBE">
        <w:rPr>
          <w:rFonts w:hint="eastAsia"/>
          <w:lang w:eastAsia="zh-TW"/>
        </w:rPr>
        <w:t>確可連讀。此文還由此認爲《二年律令·賜律》認爲簡</w:t>
      </w:r>
      <w:r w:rsidRPr="00331FBE">
        <w:rPr>
          <w:lang w:eastAsia="zh-TW"/>
        </w:rPr>
        <w:t>284</w:t>
      </w:r>
      <w:r w:rsidRPr="00331FBE">
        <w:rPr>
          <w:rFonts w:hint="eastAsia"/>
          <w:lang w:eastAsia="zh-TW"/>
        </w:rPr>
        <w:t>、</w:t>
      </w:r>
      <w:r w:rsidRPr="00331FBE">
        <w:rPr>
          <w:lang w:eastAsia="zh-TW"/>
        </w:rPr>
        <w:t>285</w:t>
      </w:r>
      <w:r w:rsidRPr="00331FBE">
        <w:rPr>
          <w:rFonts w:hint="eastAsia"/>
          <w:lang w:eastAsia="zh-TW"/>
        </w:rPr>
        <w:t>、</w:t>
      </w:r>
      <w:r w:rsidRPr="00331FBE">
        <w:rPr>
          <w:lang w:eastAsia="zh-TW"/>
        </w:rPr>
        <w:t>289</w:t>
      </w:r>
      <w:r w:rsidRPr="00331FBE">
        <w:rPr>
          <w:rFonts w:hint="eastAsia"/>
          <w:lang w:eastAsia="zh-TW"/>
        </w:rPr>
        <w:t>雖不是滿簡抄寫，但應按</w:t>
      </w:r>
      <w:r w:rsidRPr="00331FBE">
        <w:rPr>
          <w:lang w:eastAsia="zh-TW"/>
        </w:rPr>
        <w:t>282-284+285+289+288</w:t>
      </w:r>
      <w:r w:rsidRPr="00331FBE">
        <w:rPr>
          <w:rFonts w:hint="eastAsia"/>
          <w:lang w:eastAsia="zh-TW"/>
        </w:rPr>
        <w:t>的順序連讀、編聯。</w:t>
      </w:r>
      <w:r w:rsidR="00393C80" w:rsidRPr="00393C80">
        <w:rPr>
          <w:vertAlign w:val="superscript"/>
        </w:rPr>
        <w:endnoteReference w:id="4"/>
      </w:r>
    </w:p>
    <w:p w14:paraId="2A4049A9" w14:textId="37175C5E" w:rsidR="00393C80" w:rsidRPr="00393C80" w:rsidRDefault="00331FBE" w:rsidP="00057141">
      <w:pPr>
        <w:pStyle w:val="ab"/>
        <w:ind w:firstLine="560"/>
      </w:pPr>
      <w:r w:rsidRPr="00331FBE">
        <w:rPr>
          <w:rFonts w:hint="eastAsia"/>
          <w:lang w:eastAsia="zh-TW"/>
        </w:rPr>
        <w:t>按何有祖等先生引胡家草場《賜律》所謂“居縣賜棺、官衣一，……”當從《選粹》改爲“居縣賜棺。官衣一，……”。改讀後“官衣一”以下別爲一句，簡</w:t>
      </w:r>
      <w:r w:rsidRPr="00331FBE">
        <w:rPr>
          <w:lang w:eastAsia="zh-TW"/>
        </w:rPr>
        <w:t>284</w:t>
      </w:r>
      <w:r w:rsidRPr="00331FBE">
        <w:rPr>
          <w:rFonts w:hint="eastAsia"/>
          <w:lang w:eastAsia="zh-TW"/>
        </w:rPr>
        <w:t>、</w:t>
      </w:r>
      <w:r w:rsidRPr="00331FBE">
        <w:rPr>
          <w:lang w:eastAsia="zh-TW"/>
        </w:rPr>
        <w:t>285</w:t>
      </w:r>
      <w:r w:rsidRPr="00331FBE">
        <w:rPr>
          <w:rFonts w:hint="eastAsia"/>
          <w:lang w:eastAsia="zh-TW"/>
        </w:rPr>
        <w:t>可以連讀一說便失去了堅强的證據。</w:t>
      </w:r>
    </w:p>
    <w:p w14:paraId="7F56AA10" w14:textId="2451824A" w:rsidR="00393C80" w:rsidRPr="00393C80" w:rsidRDefault="00331FBE" w:rsidP="00057141">
      <w:pPr>
        <w:pStyle w:val="ab"/>
        <w:ind w:firstLine="560"/>
        <w:rPr>
          <w:lang w:eastAsia="zh-TW"/>
        </w:rPr>
      </w:pPr>
      <w:r w:rsidRPr="00331FBE">
        <w:rPr>
          <w:rFonts w:hint="eastAsia"/>
          <w:lang w:eastAsia="zh-TW"/>
        </w:rPr>
        <w:t>上引胡家草場《賜律》雖將《二年律令·賜律》分開的幾條律文連讀，但二者律文不同，前者經過了重新修訂。如《二年律令·賜律》“二千石吏”改成了“吏二千石以上”。</w:t>
      </w:r>
      <w:r w:rsidRPr="00331FBE">
        <w:rPr>
          <w:rFonts w:hint="eastAsia"/>
          <w:bCs/>
          <w:color w:val="000000"/>
          <w:lang w:eastAsia="zh-TW"/>
        </w:rPr>
        <w:t>胡家草場《朝律》簡</w:t>
      </w:r>
      <w:r w:rsidRPr="00331FBE">
        <w:rPr>
          <w:bCs/>
          <w:color w:val="000000"/>
          <w:lang w:eastAsia="zh-TW"/>
        </w:rPr>
        <w:t>380</w:t>
      </w:r>
      <w:r w:rsidRPr="00331FBE">
        <w:rPr>
          <w:rFonts w:hint="eastAsia"/>
          <w:bCs/>
          <w:color w:val="000000"/>
          <w:lang w:eastAsia="zh-TW"/>
        </w:rPr>
        <w:t>有“中二千石”，指的乃是中央或京</w:t>
      </w:r>
      <w:r w:rsidRPr="00331FBE">
        <w:rPr>
          <w:rFonts w:hint="eastAsia"/>
          <w:color w:val="000000"/>
          <w:shd w:val="clear" w:color="auto" w:fill="FCFCFC"/>
          <w:lang w:eastAsia="zh-TW"/>
        </w:rPr>
        <w:t>師二千石，當時幷無中二千石新秩。</w:t>
      </w:r>
      <w:r w:rsidR="00393C80" w:rsidRPr="00393C80">
        <w:rPr>
          <w:color w:val="000000"/>
          <w:shd w:val="clear" w:color="auto" w:fill="FCFCFC"/>
          <w:vertAlign w:val="superscript"/>
        </w:rPr>
        <w:endnoteReference w:id="5"/>
      </w:r>
      <w:r w:rsidRPr="00331FBE">
        <w:rPr>
          <w:rFonts w:hint="eastAsia"/>
          <w:lang w:eastAsia="zh-TW"/>
        </w:rPr>
        <w:t>這裏的</w:t>
      </w:r>
      <w:r w:rsidRPr="00331FBE">
        <w:rPr>
          <w:rFonts w:hint="eastAsia"/>
          <w:bCs/>
          <w:color w:val="000000"/>
          <w:kern w:val="0"/>
          <w:lang w:eastAsia="zh-TW"/>
        </w:rPr>
        <w:t>“吏二千石以上”當然不會是指二千石及中二千石。</w:t>
      </w:r>
      <w:r w:rsidRPr="00331FBE">
        <w:rPr>
          <w:rFonts w:hint="eastAsia"/>
          <w:lang w:eastAsia="zh-TW"/>
        </w:rPr>
        <w:t>《二年律令·賜律》的賞賜對象及其規定幷不包括“太傅”等三公、“丞相”、“相國”、除“衛將軍”外的諸將軍，諸官雖地位高于二千石官，但當時幷無秩名（《二年律令·秩律》最高秩爲二千石）。此次重修《賜律》稱</w:t>
      </w:r>
      <w:r w:rsidRPr="00331FBE">
        <w:rPr>
          <w:rFonts w:hint="eastAsia"/>
          <w:bCs/>
          <w:color w:val="000000"/>
          <w:kern w:val="0"/>
          <w:lang w:eastAsia="zh-TW"/>
        </w:rPr>
        <w:t>“二千石以上”，將上述諸官吏也囊括在內了。又如</w:t>
      </w:r>
      <w:r w:rsidRPr="00331FBE">
        <w:rPr>
          <w:rFonts w:hint="eastAsia"/>
          <w:lang w:eastAsia="zh-TW"/>
        </w:rPr>
        <w:t>《二年律令·賜律》二千石以下，又單列有郡尉，顯示當時郡尉與其餘二千石官在地位尊卑上仍有</w:t>
      </w:r>
      <w:r w:rsidR="00057141">
        <w:rPr>
          <w:rFonts w:hint="eastAsia"/>
          <w:lang w:eastAsia="zh-TW"/>
        </w:rPr>
        <w:t>差異</w:t>
      </w:r>
      <w:r w:rsidRPr="00331FBE">
        <w:rPr>
          <w:rFonts w:hint="eastAsia"/>
          <w:lang w:eastAsia="zh-TW"/>
        </w:rPr>
        <w:t>。</w:t>
      </w:r>
      <w:r w:rsidRPr="00331FBE">
        <w:rPr>
          <w:rFonts w:hint="eastAsia"/>
          <w:bCs/>
          <w:lang w:eastAsia="zh-TW"/>
        </w:rPr>
        <w:t>胡家草場《賜律》將“</w:t>
      </w:r>
      <w:r w:rsidRPr="00331FBE">
        <w:rPr>
          <w:rFonts w:hint="eastAsia"/>
          <w:lang w:eastAsia="zh-TW"/>
        </w:rPr>
        <w:t>郡尉，賜衣、</w:t>
      </w:r>
      <w:r w:rsidRPr="00331FBE">
        <w:rPr>
          <w:rFonts w:hint="eastAsia"/>
          <w:lang w:eastAsia="zh-TW"/>
        </w:rPr>
        <w:lastRenderedPageBreak/>
        <w:t>棺及官常（裳）</w:t>
      </w:r>
      <w:r w:rsidRPr="00331FBE">
        <w:rPr>
          <w:rFonts w:hint="eastAsia"/>
          <w:bCs/>
          <w:lang w:eastAsia="zh-TW"/>
        </w:rPr>
        <w:t>”一句删除，已將郡尉與其餘二千石官同等看待了。以上兩處修改均使律文邏輯上更趨嚴密。</w:t>
      </w:r>
      <w:r w:rsidR="00393C80" w:rsidRPr="00393C80">
        <w:rPr>
          <w:bCs/>
          <w:vertAlign w:val="superscript"/>
        </w:rPr>
        <w:endnoteReference w:id="6"/>
      </w:r>
      <w:r w:rsidRPr="00331FBE">
        <w:rPr>
          <w:rFonts w:hint="eastAsia"/>
          <w:bCs/>
          <w:lang w:eastAsia="zh-TW"/>
        </w:rPr>
        <w:t>上文也已指出胡家草場《亡律》有合《二年律令·亡律》四條律文爲一條律文的情况，胡家草場《賜律》</w:t>
      </w:r>
      <w:r w:rsidRPr="00331FBE">
        <w:rPr>
          <w:bCs/>
          <w:lang w:eastAsia="zh-TW"/>
        </w:rPr>
        <w:t>3172+406</w:t>
      </w:r>
      <w:r w:rsidRPr="00331FBE">
        <w:rPr>
          <w:rFonts w:hint="eastAsia"/>
          <w:bCs/>
          <w:lang w:eastAsia="zh-TW"/>
        </w:rPr>
        <w:t>等諸簡連抄也可以看成合之前諸律爲一新律。既然胡家草場漢律有重大修訂，律條也經過重新分合，上引</w:t>
      </w:r>
      <w:r w:rsidRPr="00331FBE">
        <w:rPr>
          <w:rFonts w:hint="eastAsia"/>
          <w:lang w:eastAsia="zh-TW"/>
        </w:rPr>
        <w:t>《二年律令·賜律》諸簡當然不一定要</w:t>
      </w:r>
      <w:r w:rsidRPr="00331FBE">
        <w:rPr>
          <w:rFonts w:hint="eastAsia"/>
          <w:bCs/>
          <w:lang w:eastAsia="zh-TW"/>
        </w:rPr>
        <w:t>看成一條律文而連讀了。</w:t>
      </w:r>
    </w:p>
    <w:p w14:paraId="3AC72791" w14:textId="04D49D7B" w:rsidR="00393C80" w:rsidRPr="00393C80" w:rsidRDefault="00057141" w:rsidP="00057141">
      <w:pPr>
        <w:pStyle w:val="ab"/>
        <w:ind w:firstLine="560"/>
        <w:rPr>
          <w:lang w:eastAsia="zh-TW"/>
        </w:rPr>
      </w:pPr>
      <w:r w:rsidRPr="00057141">
        <w:rPr>
          <w:rFonts w:hint="eastAsia"/>
          <w:lang w:eastAsia="zh-TW"/>
        </w:rPr>
        <w:t>《二年律令·賜律》有不少文意上有關聯，但分簡書寫的情况。如</w:t>
      </w:r>
      <w:r w:rsidRPr="00057141">
        <w:rPr>
          <w:lang w:eastAsia="zh-TW"/>
        </w:rPr>
        <w:t>295</w:t>
      </w:r>
      <w:r w:rsidRPr="00057141">
        <w:rPr>
          <w:rFonts w:hint="eastAsia"/>
          <w:lang w:eastAsia="zh-TW"/>
        </w:rPr>
        <w:t>：“賜公主比二千石。”簡</w:t>
      </w:r>
      <w:r w:rsidRPr="00057141">
        <w:rPr>
          <w:lang w:eastAsia="zh-TW"/>
        </w:rPr>
        <w:t>296</w:t>
      </w:r>
      <w:r w:rsidRPr="00057141">
        <w:rPr>
          <w:rFonts w:hint="eastAsia"/>
          <w:lang w:eastAsia="zh-TW"/>
        </w:rPr>
        <w:t>：“禦史比六百石，相……”簡</w:t>
      </w:r>
      <w:r w:rsidRPr="00057141">
        <w:rPr>
          <w:lang w:eastAsia="zh-TW"/>
        </w:rPr>
        <w:t>298</w:t>
      </w:r>
      <w:r w:rsidRPr="00057141">
        <w:rPr>
          <w:rFonts w:hint="eastAsia"/>
          <w:lang w:eastAsia="zh-TW"/>
        </w:rPr>
        <w:t>：“二千石食</w:t>
      </w:r>
      <w:r w:rsidR="00393C80" w:rsidRPr="00393C80">
        <w:rPr>
          <w:rFonts w:ascii="Times New Roman" w:hAnsi="Times New Roman"/>
          <w:noProof/>
          <w:szCs w:val="24"/>
        </w:rPr>
        <w:drawing>
          <wp:inline distT="0" distB="0" distL="0" distR="0" wp14:anchorId="102A82E3" wp14:editId="49EC03A0">
            <wp:extent cx="134711" cy="139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Lst>
                    </a:blip>
                    <a:stretch>
                      <a:fillRect/>
                    </a:stretch>
                  </pic:blipFill>
                  <pic:spPr>
                    <a:xfrm>
                      <a:off x="0" y="0"/>
                      <a:ext cx="145771" cy="151170"/>
                    </a:xfrm>
                    <a:prstGeom prst="rect">
                      <a:avLst/>
                    </a:prstGeom>
                  </pic:spPr>
                </pic:pic>
              </a:graphicData>
            </a:graphic>
          </wp:inline>
        </w:drawing>
      </w:r>
      <w:r w:rsidRPr="00057141">
        <w:rPr>
          <w:rFonts w:hint="eastAsia"/>
          <w:lang w:eastAsia="zh-TW"/>
        </w:rPr>
        <w:t>（糳）、粲、穤（糯）各一盛，醯、醬各二升，介（芥）一升。”簡</w:t>
      </w:r>
      <w:r w:rsidRPr="00057141">
        <w:rPr>
          <w:lang w:eastAsia="zh-TW"/>
        </w:rPr>
        <w:t>299</w:t>
      </w:r>
      <w:r w:rsidRPr="00057141">
        <w:rPr>
          <w:rFonts w:hint="eastAsia"/>
          <w:lang w:eastAsia="zh-TW"/>
        </w:rPr>
        <w:t>：“千石吏至六百石，食二盛，醯、醬各一升。”簡</w:t>
      </w:r>
      <w:r w:rsidRPr="00057141">
        <w:rPr>
          <w:lang w:eastAsia="zh-TW"/>
        </w:rPr>
        <w:t>300</w:t>
      </w:r>
      <w:r w:rsidRPr="00057141">
        <w:rPr>
          <w:rFonts w:hint="eastAsia"/>
          <w:lang w:eastAsia="zh-TW"/>
        </w:rPr>
        <w:t>：“五百石以下，食一盛，醬半升。”簡</w:t>
      </w:r>
      <w:r w:rsidRPr="00057141">
        <w:rPr>
          <w:lang w:eastAsia="zh-TW"/>
        </w:rPr>
        <w:t>301</w:t>
      </w:r>
      <w:r w:rsidRPr="00057141">
        <w:rPr>
          <w:rFonts w:hint="eastAsia"/>
          <w:lang w:eastAsia="zh-TW"/>
        </w:rPr>
        <w:t>：“食一盛，用米九升。”何有祖等先生引胡家草場《賜律》</w:t>
      </w:r>
      <w:r w:rsidRPr="00057141">
        <w:rPr>
          <w:lang w:eastAsia="zh-TW"/>
        </w:rPr>
        <w:t>3060</w:t>
      </w:r>
      <w:r w:rsidRPr="00057141">
        <w:rPr>
          <w:rFonts w:hint="eastAsia"/>
          <w:lang w:eastAsia="zh-TW"/>
        </w:rPr>
        <w:t>“五百石以下，食一盛，醬半升。食一盛，用米九升”，認爲簡</w:t>
      </w:r>
      <w:r w:rsidRPr="00057141">
        <w:rPr>
          <w:lang w:eastAsia="zh-TW"/>
        </w:rPr>
        <w:t>298-301</w:t>
      </w:r>
      <w:r w:rsidRPr="00057141">
        <w:rPr>
          <w:rFonts w:hint="eastAsia"/>
          <w:lang w:eastAsia="zh-TW"/>
        </w:rPr>
        <w:t>可連讀。其實這幾例也應看成兩種《賜律》律條分合不同的例子。其中簡</w:t>
      </w:r>
      <w:r w:rsidRPr="00057141">
        <w:rPr>
          <w:lang w:eastAsia="zh-TW"/>
        </w:rPr>
        <w:t>301</w:t>
      </w:r>
      <w:r w:rsidRPr="00057141">
        <w:rPr>
          <w:rFonts w:hint="eastAsia"/>
          <w:lang w:eastAsia="zh-TW"/>
        </w:rPr>
        <w:t>“食一盛，用米九升”與簡</w:t>
      </w:r>
      <w:r w:rsidRPr="00057141">
        <w:rPr>
          <w:lang w:eastAsia="zh-TW"/>
        </w:rPr>
        <w:t>285</w:t>
      </w:r>
      <w:r w:rsidRPr="00057141">
        <w:rPr>
          <w:rFonts w:hint="eastAsia"/>
          <w:lang w:eastAsia="zh-TW"/>
        </w:rPr>
        <w:t>“官衣一，用縵六丈四尺，……”辭例類同，性質接近，均是對所賜之物（官衣一件、食一盛）的規格進行規定。二者均分簡別書，說明應是刻意如此抄寫的。《二年律令·賜律》律文分簡書寫之例不在少數，諸簡皆文意完整，我們認爲將之</w:t>
      </w:r>
      <w:r w:rsidRPr="00057141">
        <w:rPr>
          <w:rFonts w:hint="eastAsia"/>
          <w:lang w:eastAsia="zh-TW"/>
        </w:rPr>
        <w:lastRenderedPageBreak/>
        <w:t>都單獨看成一條律文是最爲簡單直接的。</w:t>
      </w:r>
    </w:p>
    <w:p w14:paraId="0545B3FB" w14:textId="7C7DDAD7" w:rsidR="00393C80" w:rsidRPr="00393C80" w:rsidRDefault="00057141" w:rsidP="00057141">
      <w:pPr>
        <w:pStyle w:val="ab"/>
        <w:ind w:firstLine="560"/>
        <w:rPr>
          <w:lang w:eastAsia="zh-TW"/>
        </w:rPr>
      </w:pPr>
      <w:r w:rsidRPr="00057141">
        <w:rPr>
          <w:rFonts w:hint="eastAsia"/>
          <w:lang w:eastAsia="zh-TW"/>
        </w:rPr>
        <w:t>需要指出的是《二年律令》存在將兩律條合抄一處的現象。</w:t>
      </w:r>
      <w:r w:rsidR="00393C80" w:rsidRPr="00393C80">
        <w:rPr>
          <w:vertAlign w:val="superscript"/>
        </w:rPr>
        <w:endnoteReference w:id="7"/>
      </w:r>
      <w:r w:rsidRPr="00057141">
        <w:rPr>
          <w:rFonts w:hint="eastAsia"/>
          <w:lang w:eastAsia="zh-TW"/>
        </w:rPr>
        <w:t>因此《二年律令·賜律》簡</w:t>
      </w:r>
      <w:r w:rsidRPr="00057141">
        <w:rPr>
          <w:lang w:eastAsia="zh-TW"/>
        </w:rPr>
        <w:t>283</w:t>
      </w:r>
      <w:r w:rsidRPr="00057141">
        <w:rPr>
          <w:rFonts w:hint="eastAsia"/>
          <w:lang w:eastAsia="zh-TW"/>
        </w:rPr>
        <w:t>“勿予裏、絮”下也可能別爲一條律文。以《二年律令·賜律》賜食分“二千石”、“千石吏至六百石”、“五百石以下”諸律條來看，甚至不排除簡</w:t>
      </w:r>
      <w:r w:rsidRPr="00057141">
        <w:rPr>
          <w:lang w:eastAsia="zh-TW"/>
        </w:rPr>
        <w:t>283</w:t>
      </w:r>
      <w:r w:rsidRPr="00057141">
        <w:rPr>
          <w:rFonts w:hint="eastAsia"/>
          <w:lang w:eastAsia="zh-TW"/>
        </w:rPr>
        <w:t>“勿予裏、絮”以下，“二千石吏”、“郡尉”、“千石吏至六百石”、“五百石以下”諸條皆別爲一條律文這一可能。</w:t>
      </w:r>
    </w:p>
    <w:p w14:paraId="5E16508A" w14:textId="61B351DC" w:rsidR="00393C80" w:rsidRPr="00393C80" w:rsidRDefault="00057141" w:rsidP="00057141">
      <w:pPr>
        <w:pStyle w:val="ab"/>
        <w:ind w:firstLine="560"/>
        <w:rPr>
          <w:lang w:eastAsia="zh-TW"/>
        </w:rPr>
      </w:pPr>
      <w:r w:rsidRPr="00057141">
        <w:rPr>
          <w:rFonts w:hint="eastAsia"/>
          <w:lang w:eastAsia="zh-TW"/>
        </w:rPr>
        <w:t>再來看與兩種《賜律》有關的另外一例。《二年律令·賜律》簡</w:t>
      </w:r>
      <w:r w:rsidRPr="00057141">
        <w:rPr>
          <w:lang w:eastAsia="zh-TW"/>
        </w:rPr>
        <w:t>290</w:t>
      </w:r>
      <w:r w:rsidRPr="00057141">
        <w:rPr>
          <w:rFonts w:hint="eastAsia"/>
          <w:lang w:eastAsia="zh-TW"/>
        </w:rPr>
        <w:t>：“諸當賜，官毋（無）其物者，以平賈（價）予錢。”《二年律令·金布律》簡</w:t>
      </w:r>
      <w:r w:rsidRPr="00057141">
        <w:rPr>
          <w:lang w:eastAsia="zh-TW"/>
        </w:rPr>
        <w:t>418-420</w:t>
      </w:r>
      <w:r w:rsidRPr="00057141">
        <w:rPr>
          <w:rFonts w:hint="eastAsia"/>
          <w:lang w:eastAsia="zh-TW"/>
        </w:rPr>
        <w:t>：“諸冗作縣官及徒隸，大男，冬稟布袍表裏七丈、絡絮四斤，絝（</w:t>
      </w:r>
      <w:r w:rsidR="006A1563" w:rsidRPr="006A1563">
        <w:rPr>
          <w:rFonts w:hint="eastAsia"/>
          <w:lang w:eastAsia="zh-TW"/>
        </w:rPr>
        <w:t>袴</w:t>
      </w:r>
      <w:r w:rsidRPr="00057141">
        <w:rPr>
          <w:rFonts w:hint="eastAsia"/>
          <w:lang w:eastAsia="zh-TW"/>
        </w:rPr>
        <w:t>）二丈、絮二斤；大女及使小男，冬袍五丈六尺、絮三斤，絝（</w:t>
      </w:r>
      <w:r w:rsidR="006A1563" w:rsidRPr="006A1563">
        <w:rPr>
          <w:rFonts w:hint="eastAsia"/>
          <w:lang w:eastAsia="zh-TW"/>
        </w:rPr>
        <w:t>袴</w:t>
      </w:r>
      <w:r w:rsidRPr="00057141">
        <w:rPr>
          <w:rFonts w:hint="eastAsia"/>
          <w:lang w:eastAsia="zh-TW"/>
        </w:rPr>
        <w:t>）丈八尺、絮二斤；未使小男及使小女，冬袍二丈八尺、絮一斤半斤；未使小女，冬袍二丈、絮一斤。夏皆稟禪，各半其丈數而勿稟絝（</w:t>
      </w:r>
      <w:r w:rsidR="006A1563" w:rsidRPr="006A1563">
        <w:rPr>
          <w:rFonts w:hint="eastAsia"/>
          <w:lang w:eastAsia="zh-TW"/>
        </w:rPr>
        <w:t>袴</w:t>
      </w:r>
      <w:r w:rsidRPr="00057141">
        <w:rPr>
          <w:rFonts w:hint="eastAsia"/>
          <w:lang w:eastAsia="zh-TW"/>
        </w:rPr>
        <w:t>）。夏以四月盡六月，冬以九月盡十一月禀之。布皆八糭、七糭。以裘皮絝（</w:t>
      </w:r>
      <w:r w:rsidR="006A1563" w:rsidRPr="006A1563">
        <w:rPr>
          <w:rFonts w:hint="eastAsia"/>
          <w:lang w:eastAsia="zh-TW"/>
        </w:rPr>
        <w:t>袴</w:t>
      </w:r>
      <w:r w:rsidRPr="00057141">
        <w:rPr>
          <w:rFonts w:hint="eastAsia"/>
          <w:lang w:eastAsia="zh-TW"/>
        </w:rPr>
        <w:t>）當袍絝（</w:t>
      </w:r>
      <w:r w:rsidR="006A1563" w:rsidRPr="006A1563">
        <w:rPr>
          <w:rFonts w:hint="eastAsia"/>
          <w:lang w:eastAsia="zh-TW"/>
        </w:rPr>
        <w:t>袴</w:t>
      </w:r>
      <w:r w:rsidRPr="00057141">
        <w:rPr>
          <w:rFonts w:hint="eastAsia"/>
          <w:lang w:eastAsia="zh-TW"/>
        </w:rPr>
        <w:t>），可。”何有祖等先生據胡家草場《賜律》簡</w:t>
      </w:r>
      <w:r w:rsidRPr="00057141">
        <w:rPr>
          <w:lang w:eastAsia="zh-TW"/>
        </w:rPr>
        <w:t>324</w:t>
      </w:r>
      <w:r w:rsidRPr="00057141">
        <w:rPr>
          <w:rFonts w:hint="eastAsia"/>
          <w:lang w:eastAsia="zh-TW"/>
        </w:rPr>
        <w:t>“諸當賜，官毋（無）其物者，以平賈（價）予錢。諸冗作縣官、官奴婢、徒隸、冬稟布袍、襦、絝（袴）各一，夏禀禪。官爲裁衣。程：……”，認爲《二年律令·金</w:t>
      </w:r>
      <w:r w:rsidRPr="00057141">
        <w:rPr>
          <w:rFonts w:hint="eastAsia"/>
          <w:lang w:eastAsia="zh-TW"/>
        </w:rPr>
        <w:lastRenderedPageBreak/>
        <w:t>布律》簡</w:t>
      </w:r>
      <w:r w:rsidRPr="00057141">
        <w:rPr>
          <w:lang w:eastAsia="zh-TW"/>
        </w:rPr>
        <w:t>418-420</w:t>
      </w:r>
      <w:r w:rsidRPr="00057141">
        <w:rPr>
          <w:rFonts w:hint="eastAsia"/>
          <w:lang w:eastAsia="zh-TW"/>
        </w:rPr>
        <w:t>當接于《二年律令·賜律》簡</w:t>
      </w:r>
      <w:r w:rsidRPr="00057141">
        <w:rPr>
          <w:lang w:eastAsia="zh-TW"/>
        </w:rPr>
        <w:t>290</w:t>
      </w:r>
      <w:r w:rsidRPr="00057141">
        <w:rPr>
          <w:rFonts w:hint="eastAsia"/>
          <w:lang w:eastAsia="zh-TW"/>
        </w:rPr>
        <w:t>之後，其文雖與睡虎地秦簡《金布律》相似，但在張家山漢簡以及胡家草場漢簡時期已歸入《賜律》。</w:t>
      </w:r>
    </w:p>
    <w:p w14:paraId="191CAC5B" w14:textId="5499B4E4" w:rsidR="00393C80" w:rsidRPr="00393C80" w:rsidRDefault="00057141" w:rsidP="00057141">
      <w:pPr>
        <w:pStyle w:val="ab"/>
        <w:ind w:firstLine="560"/>
        <w:rPr>
          <w:lang w:eastAsia="zh-TW"/>
        </w:rPr>
      </w:pPr>
      <w:r w:rsidRPr="00057141">
        <w:rPr>
          <w:rFonts w:hint="eastAsia"/>
          <w:lang w:eastAsia="zh-TW"/>
        </w:rPr>
        <w:t>此說我們不能贊同。從出土號來看，《二年律令·金布律》簡</w:t>
      </w:r>
      <w:r w:rsidRPr="00057141">
        <w:rPr>
          <w:lang w:eastAsia="zh-TW"/>
        </w:rPr>
        <w:t>418-420</w:t>
      </w:r>
      <w:r w:rsidRPr="00057141">
        <w:rPr>
          <w:rFonts w:hint="eastAsia"/>
          <w:lang w:eastAsia="zh-TW"/>
        </w:rPr>
        <w:t>多與《二年律令·金布律》其餘諸簡編號接近，而與《二年律令·賜律》諸簡編號較遠。以之爲綫索，簡</w:t>
      </w:r>
      <w:r w:rsidRPr="00057141">
        <w:rPr>
          <w:lang w:eastAsia="zh-TW"/>
        </w:rPr>
        <w:t>418-420</w:t>
      </w:r>
      <w:r w:rsidRPr="00057141">
        <w:rPr>
          <w:rFonts w:hint="eastAsia"/>
          <w:lang w:eastAsia="zh-TW"/>
        </w:rPr>
        <w:t>還是看成《金布律》更爲妥當。睡虎地秦簡《金布律》簡</w:t>
      </w:r>
      <w:r w:rsidRPr="00057141">
        <w:rPr>
          <w:lang w:eastAsia="zh-TW"/>
        </w:rPr>
        <w:t>90-93</w:t>
      </w:r>
      <w:r w:rsidRPr="00057141">
        <w:rPr>
          <w:rFonts w:hint="eastAsia"/>
          <w:lang w:eastAsia="zh-TW"/>
        </w:rPr>
        <w:t>授衣者條對所授衣之材質、規格、價值皆有明細規定，如“大褐一，用枲十八斤，直（值）六十錢”。簡</w:t>
      </w:r>
      <w:r w:rsidRPr="00057141">
        <w:rPr>
          <w:lang w:eastAsia="zh-TW"/>
        </w:rPr>
        <w:t>94-96</w:t>
      </w:r>
      <w:r w:rsidRPr="00057141">
        <w:rPr>
          <w:rFonts w:hint="eastAsia"/>
          <w:lang w:eastAsia="zh-TW"/>
        </w:rPr>
        <w:t>稟衣者條規定稟衣者要繳納衣錢，如“稟衣者，隸臣、府隸之毋（無）妻者及城旦，冬人百一十錢”。以上均與官府財務出納相關。岳麓秦簡（</w:t>
      </w:r>
      <w:r w:rsidR="006A1563">
        <w:rPr>
          <w:rFonts w:hint="eastAsia"/>
          <w:lang w:eastAsia="zh-TW"/>
        </w:rPr>
        <w:t>肆</w:t>
      </w:r>
      <w:r w:rsidRPr="00057141">
        <w:rPr>
          <w:rFonts w:hint="eastAsia"/>
          <w:lang w:eastAsia="zh-TW"/>
        </w:rPr>
        <w:t>）簡</w:t>
      </w:r>
      <w:r w:rsidRPr="00057141">
        <w:rPr>
          <w:lang w:eastAsia="zh-TW"/>
        </w:rPr>
        <w:t>384-385</w:t>
      </w:r>
      <w:r w:rsidRPr="00057141">
        <w:rPr>
          <w:rFonts w:hint="eastAsia"/>
          <w:lang w:eastAsia="zh-TW"/>
        </w:rPr>
        <w:t>：“冬袍裘絝履及它物可衣履者，盡四月收。其後賤〈賦〉夏衣者，假襌裙襦盡九月收，叚（假）裘者，勿假袍；叚（假）袍者，勿假裘。它有等比。”可見諸衣物作爲公家財物借出後仍應收回。此涉及官府財務保管及廢舊物資的處理。秦漢以來《金布律》主要涉及縣官金錢、布帛之事，《二年律令·金布律》簡</w:t>
      </w:r>
      <w:r w:rsidRPr="00057141">
        <w:rPr>
          <w:lang w:eastAsia="zh-TW"/>
        </w:rPr>
        <w:t>418-420</w:t>
      </w:r>
      <w:r w:rsidRPr="00057141">
        <w:rPr>
          <w:rFonts w:hint="eastAsia"/>
          <w:lang w:eastAsia="zh-TW"/>
        </w:rPr>
        <w:t>自然也與此相關。從律文來看，《二年律令·金布律》簡</w:t>
      </w:r>
      <w:r w:rsidRPr="00057141">
        <w:rPr>
          <w:lang w:eastAsia="zh-TW"/>
        </w:rPr>
        <w:t>418-420</w:t>
      </w:r>
      <w:r w:rsidRPr="00057141">
        <w:rPr>
          <w:rFonts w:hint="eastAsia"/>
          <w:lang w:eastAsia="zh-TW"/>
        </w:rPr>
        <w:t>亦屬授及稟衣，與上引秦簡一致，而非胡家草場《賜律》的賜衣。《二年律令·金布律》簡</w:t>
      </w:r>
      <w:r w:rsidRPr="00057141">
        <w:rPr>
          <w:lang w:eastAsia="zh-TW"/>
        </w:rPr>
        <w:t>421-423</w:t>
      </w:r>
      <w:r w:rsidRPr="00057141">
        <w:rPr>
          <w:rFonts w:hint="eastAsia"/>
          <w:lang w:eastAsia="zh-TW"/>
        </w:rPr>
        <w:t>、簡</w:t>
      </w:r>
      <w:r w:rsidRPr="00057141">
        <w:rPr>
          <w:lang w:eastAsia="zh-TW"/>
        </w:rPr>
        <w:t>424</w:t>
      </w:r>
      <w:r w:rsidRPr="00057141">
        <w:rPr>
          <w:rFonts w:hint="eastAsia"/>
          <w:lang w:eastAsia="zh-TW"/>
        </w:rPr>
        <w:t>、簡</w:t>
      </w:r>
      <w:r w:rsidRPr="00057141">
        <w:rPr>
          <w:lang w:eastAsia="zh-TW"/>
        </w:rPr>
        <w:t>425</w:t>
      </w:r>
      <w:r w:rsidRPr="00057141">
        <w:rPr>
          <w:rFonts w:hint="eastAsia"/>
          <w:lang w:eastAsia="zh-TW"/>
        </w:rPr>
        <w:t>還有</w:t>
      </w:r>
      <w:r w:rsidRPr="00057141">
        <w:rPr>
          <w:rFonts w:hint="eastAsia"/>
          <w:lang w:eastAsia="zh-TW"/>
        </w:rPr>
        <w:lastRenderedPageBreak/>
        <w:t>馬牛等稟食的規定，從性質來看亦與《二年律令·金布律》簡</w:t>
      </w:r>
      <w:r w:rsidRPr="00057141">
        <w:rPr>
          <w:lang w:eastAsia="zh-TW"/>
        </w:rPr>
        <w:t>418-420</w:t>
      </w:r>
      <w:r w:rsidRPr="00057141">
        <w:rPr>
          <w:rFonts w:hint="eastAsia"/>
          <w:lang w:eastAsia="zh-TW"/>
        </w:rPr>
        <w:t>一致。故從性質及內容來看諸簡也應歸入《金布律》。</w:t>
      </w:r>
    </w:p>
    <w:p w14:paraId="7C0CD9F3" w14:textId="44E9B8B0" w:rsidR="00393C80" w:rsidRPr="00393C80" w:rsidRDefault="006A1563" w:rsidP="006A1563">
      <w:pPr>
        <w:pStyle w:val="ab"/>
        <w:ind w:firstLine="560"/>
        <w:rPr>
          <w:bCs/>
        </w:rPr>
      </w:pPr>
      <w:r w:rsidRPr="006A1563">
        <w:rPr>
          <w:rFonts w:hint="eastAsia"/>
          <w:lang w:eastAsia="zh-TW"/>
        </w:rPr>
        <w:t>胡家草場《賜律》在《二年律令·賜律》等基礎上進行了重修，因此不能僅僅根據有類似文句便簡單將《二年律令·金布律》簡</w:t>
      </w:r>
      <w:r w:rsidRPr="006A1563">
        <w:rPr>
          <w:lang w:eastAsia="zh-TW"/>
        </w:rPr>
        <w:t>418-420</w:t>
      </w:r>
      <w:r w:rsidRPr="006A1563">
        <w:rPr>
          <w:rFonts w:hint="eastAsia"/>
          <w:lang w:eastAsia="zh-TW"/>
        </w:rPr>
        <w:t>歸入《二年律令·賜律》。此外，尚不能排除授及稟衣等相關律文重見于《賜律》、《金布律》這一可能。研究者多已關注到有關“</w:t>
      </w:r>
      <w:r w:rsidRPr="006A1563">
        <w:rPr>
          <w:rFonts w:hint="eastAsia"/>
          <w:bCs/>
          <w:lang w:eastAsia="zh-TW"/>
        </w:rPr>
        <w:t>入錢缿中</w:t>
      </w:r>
      <w:r w:rsidRPr="006A1563">
        <w:rPr>
          <w:rFonts w:hint="eastAsia"/>
          <w:lang w:eastAsia="zh-TW"/>
        </w:rPr>
        <w:t>”的</w:t>
      </w:r>
      <w:r w:rsidRPr="006A1563">
        <w:rPr>
          <w:rFonts w:hint="eastAsia"/>
          <w:bCs/>
          <w:lang w:eastAsia="zh-TW"/>
        </w:rPr>
        <w:t>相關規定各見于睡虎地秦簡《關市律》、岳麓秦簡《金布律》與張家山漢簡《金布律》</w:t>
      </w:r>
      <w:r w:rsidRPr="006A1563">
        <w:rPr>
          <w:rFonts w:cs="宋体" w:hint="eastAsia"/>
          <w:color w:val="000000"/>
          <w:kern w:val="0"/>
          <w:lang w:eastAsia="zh-TW"/>
        </w:rPr>
        <w:t>，而其內容繁簡不同這一現象。</w:t>
      </w:r>
      <w:r w:rsidRPr="006A1563">
        <w:rPr>
          <w:rFonts w:hint="eastAsia"/>
          <w:bCs/>
          <w:lang w:eastAsia="zh-TW"/>
        </w:rPr>
        <w:t>陳偉先生曾對之有詳細討論，他指出：</w:t>
      </w:r>
      <w:r w:rsidRPr="006A1563">
        <w:rPr>
          <w:rFonts w:hint="eastAsia"/>
          <w:lang w:eastAsia="zh-TW"/>
        </w:rPr>
        <w:t>“</w:t>
      </w:r>
      <w:r w:rsidRPr="006A1563">
        <w:rPr>
          <w:rFonts w:hint="eastAsia"/>
          <w:bCs/>
          <w:lang w:eastAsia="zh-TW"/>
        </w:rPr>
        <w:t>入錢缿中</w:t>
      </w:r>
      <w:r w:rsidRPr="006A1563">
        <w:rPr>
          <w:rFonts w:hint="eastAsia"/>
          <w:lang w:eastAsia="zh-TW"/>
        </w:rPr>
        <w:t>”</w:t>
      </w:r>
      <w:r w:rsidRPr="006A1563">
        <w:rPr>
          <w:rFonts w:hint="eastAsia"/>
          <w:bCs/>
          <w:lang w:eastAsia="zh-TW"/>
        </w:rPr>
        <w:t>律可能同時出現于《關市律》、《金布律》而各有側重，這與秦簡《倉律》、《效律》一些文字重</w:t>
      </w:r>
      <w:r w:rsidR="009A6158">
        <w:rPr>
          <w:rFonts w:hint="eastAsia"/>
          <w:bCs/>
          <w:lang w:eastAsia="zh-TW"/>
        </w:rPr>
        <w:t>複</w:t>
      </w:r>
      <w:r w:rsidRPr="006A1563">
        <w:rPr>
          <w:rFonts w:hint="eastAsia"/>
          <w:bCs/>
          <w:lang w:eastAsia="zh-TW"/>
        </w:rPr>
        <w:t>出現的情况類似，可能是《晋書·刑法志》批評秦漢舊律</w:t>
      </w:r>
      <w:r w:rsidRPr="006A1563">
        <w:rPr>
          <w:rFonts w:hint="eastAsia"/>
          <w:lang w:eastAsia="zh-TW"/>
        </w:rPr>
        <w:t>“實相采入”</w:t>
      </w:r>
      <w:r w:rsidRPr="006A1563">
        <w:rPr>
          <w:rFonts w:hint="eastAsia"/>
          <w:bCs/>
          <w:lang w:eastAsia="zh-TW"/>
        </w:rPr>
        <w:t>、</w:t>
      </w:r>
      <w:r w:rsidRPr="006A1563">
        <w:rPr>
          <w:rFonts w:hint="eastAsia"/>
          <w:lang w:eastAsia="zh-TW"/>
        </w:rPr>
        <w:t>“錯糅無常”</w:t>
      </w:r>
      <w:r w:rsidRPr="006A1563">
        <w:rPr>
          <w:rFonts w:hint="eastAsia"/>
          <w:bCs/>
          <w:lang w:eastAsia="zh-TW"/>
        </w:rPr>
        <w:t>的現象。</w:t>
      </w:r>
      <w:r w:rsidR="00393C80" w:rsidRPr="00393C80">
        <w:rPr>
          <w:bCs/>
          <w:vertAlign w:val="superscript"/>
        </w:rPr>
        <w:endnoteReference w:id="8"/>
      </w:r>
      <w:r w:rsidRPr="006A1563">
        <w:rPr>
          <w:rFonts w:hint="eastAsia"/>
          <w:bCs/>
          <w:lang w:eastAsia="zh-TW"/>
        </w:rPr>
        <w:t>此說應可信。</w:t>
      </w:r>
    </w:p>
    <w:p w14:paraId="141236A4" w14:textId="52C4FA59" w:rsidR="00393C80" w:rsidRPr="00393C80" w:rsidRDefault="006A1563" w:rsidP="006A1563">
      <w:pPr>
        <w:pStyle w:val="ab"/>
        <w:ind w:firstLine="560"/>
      </w:pPr>
      <w:r w:rsidRPr="006A1563">
        <w:rPr>
          <w:rFonts w:hint="eastAsia"/>
          <w:bCs/>
          <w:lang w:eastAsia="zh-TW"/>
        </w:rPr>
        <w:t>總之，原整理者將</w:t>
      </w:r>
      <w:r w:rsidRPr="006A1563">
        <w:rPr>
          <w:rFonts w:hint="eastAsia"/>
          <w:lang w:eastAsia="zh-TW"/>
        </w:rPr>
        <w:t>《二年律令》簡</w:t>
      </w:r>
      <w:r w:rsidRPr="006A1563">
        <w:rPr>
          <w:lang w:eastAsia="zh-TW"/>
        </w:rPr>
        <w:t>290</w:t>
      </w:r>
      <w:r w:rsidRPr="006A1563">
        <w:rPr>
          <w:rFonts w:hint="eastAsia"/>
          <w:lang w:eastAsia="zh-TW"/>
        </w:rPr>
        <w:t>歸入《賜律》，簡</w:t>
      </w:r>
      <w:r w:rsidRPr="006A1563">
        <w:rPr>
          <w:lang w:eastAsia="zh-TW"/>
        </w:rPr>
        <w:t>418-420</w:t>
      </w:r>
      <w:r w:rsidRPr="006A1563">
        <w:rPr>
          <w:rFonts w:hint="eastAsia"/>
          <w:lang w:eastAsia="zh-TW"/>
        </w:rPr>
        <w:t>歸入《金布律》，從目前所見資料來看應無問題。</w:t>
      </w:r>
    </w:p>
    <w:p w14:paraId="19C6F2B2" w14:textId="77777777" w:rsidR="00393C80" w:rsidRPr="00393C80" w:rsidRDefault="00393C80" w:rsidP="00393C80">
      <w:pPr>
        <w:snapToGrid w:val="0"/>
        <w:spacing w:line="300" w:lineRule="auto"/>
        <w:ind w:firstLineChars="200" w:firstLine="420"/>
        <w:jc w:val="left"/>
        <w:rPr>
          <w:sz w:val="21"/>
          <w:szCs w:val="21"/>
        </w:rPr>
      </w:pPr>
    </w:p>
    <w:p w14:paraId="0059443A" w14:textId="77777777" w:rsidR="00393C80" w:rsidRPr="00393C80" w:rsidRDefault="00393C80" w:rsidP="009A6158">
      <w:pPr>
        <w:pStyle w:val="ac"/>
      </w:pPr>
      <w:r w:rsidRPr="00393C80">
        <w:rPr>
          <w:rFonts w:hint="eastAsia"/>
        </w:rPr>
        <w:t>二</w:t>
      </w:r>
    </w:p>
    <w:p w14:paraId="7B9B02F7" w14:textId="5989A4F4" w:rsidR="00393C80" w:rsidRPr="00393C80" w:rsidRDefault="009A6158" w:rsidP="009A6158">
      <w:pPr>
        <w:pStyle w:val="ab"/>
        <w:ind w:firstLine="560"/>
      </w:pPr>
      <w:r w:rsidRPr="009A6158">
        <w:rPr>
          <w:rFonts w:hint="eastAsia"/>
          <w:lang w:eastAsia="zh-TW"/>
        </w:rPr>
        <w:t>胡家草場《賊律》（簡</w:t>
      </w:r>
      <w:r w:rsidRPr="009A6158">
        <w:rPr>
          <w:lang w:eastAsia="zh-TW"/>
        </w:rPr>
        <w:t>1023+1121+1004</w:t>
      </w:r>
      <w:r w:rsidRPr="009A6158">
        <w:rPr>
          <w:rFonts w:hint="eastAsia"/>
          <w:lang w:eastAsia="zh-TW"/>
        </w:rPr>
        <w:t>）：</w:t>
      </w:r>
    </w:p>
    <w:p w14:paraId="04CDA9C8" w14:textId="373875A9" w:rsidR="00393C80" w:rsidRPr="00393C80" w:rsidRDefault="009A6158" w:rsidP="009A6158">
      <w:pPr>
        <w:pStyle w:val="a4"/>
        <w:spacing w:before="540" w:after="540"/>
        <w:ind w:firstLine="496"/>
        <w:rPr>
          <w:rFonts w:eastAsia="华文楷体"/>
        </w:rPr>
      </w:pPr>
      <w:r w:rsidRPr="009A6158">
        <w:rPr>
          <w:rFonts w:hint="eastAsia"/>
        </w:rPr>
        <w:t>以城邑亭障反，降諸侯，及守乘城亭障，諸侯人來功（攻）盜，不堅</w:t>
      </w:r>
      <w:r w:rsidRPr="009A6158">
        <w:rPr>
          <w:rFonts w:hint="eastAsia"/>
        </w:rPr>
        <w:lastRenderedPageBreak/>
        <w:t>守而</w:t>
      </w:r>
      <w:bookmarkStart w:id="0" w:name="_Hlk91826649"/>
      <w:r>
        <w:rPr>
          <w:rFonts w:hint="eastAsia"/>
        </w:rPr>
        <w:t>棄</w:t>
      </w:r>
      <w:bookmarkEnd w:id="0"/>
      <w:r w:rsidRPr="009A6158">
        <w:rPr>
          <w:rFonts w:hint="eastAsia"/>
        </w:rPr>
        <w:t>去之，若降之，及謀反者，皆要（腰）斬。其城邑反、降，及守乘城</w:t>
      </w:r>
      <w:r w:rsidRPr="009A6158">
        <w:rPr>
          <w:rFonts w:hint="eastAsia"/>
        </w:rPr>
        <w:t>棄</w:t>
      </w:r>
      <w:r w:rsidRPr="009A6158">
        <w:rPr>
          <w:rFonts w:hint="eastAsia"/>
        </w:rPr>
        <w:t>去若降之，及謀反者父母、妻子、同産無少長，皆</w:t>
      </w:r>
      <w:r w:rsidRPr="009A6158">
        <w:rPr>
          <w:rFonts w:hint="eastAsia"/>
        </w:rPr>
        <w:t>棄</w:t>
      </w:r>
      <w:r w:rsidRPr="009A6158">
        <w:rPr>
          <w:rFonts w:hint="eastAsia"/>
        </w:rPr>
        <w:t>市。謀反者獄具，二千石官案掾移廷</w:t>
      </w:r>
      <w:r w:rsidRPr="009A6158">
        <w:rPr>
          <w:rFonts w:hint="eastAsia"/>
          <w:vertAlign w:val="subscript"/>
        </w:rPr>
        <w:t>＝</w:t>
      </w:r>
      <w:r w:rsidRPr="009A6158">
        <w:rPr>
          <w:rFonts w:hint="eastAsia"/>
        </w:rPr>
        <w:t>（廷，廷）以聞，有報，乃以從事。其坐謀反者，能編（徧）捕，若先告吏，皆除坐者罪。</w:t>
      </w:r>
    </w:p>
    <w:p w14:paraId="60F71CAB" w14:textId="1AA594AB" w:rsidR="00393C80" w:rsidRPr="00393C80" w:rsidRDefault="009A6158" w:rsidP="009A6158">
      <w:pPr>
        <w:pStyle w:val="ab"/>
        <w:ind w:firstLine="560"/>
      </w:pPr>
      <w:r w:rsidRPr="009A6158">
        <w:rPr>
          <w:rFonts w:hint="eastAsia"/>
          <w:lang w:eastAsia="zh-TW"/>
        </w:rPr>
        <w:t>此條律文可與張家山</w:t>
      </w:r>
      <w:r w:rsidRPr="009A6158">
        <w:rPr>
          <w:rFonts w:ascii="华文楷体" w:hAnsi="华文楷体"/>
          <w:lang w:eastAsia="zh-TW"/>
        </w:rPr>
        <w:t>M247</w:t>
      </w:r>
      <w:r w:rsidRPr="009A6158">
        <w:rPr>
          <w:rFonts w:hint="eastAsia"/>
          <w:lang w:eastAsia="zh-TW"/>
        </w:rPr>
        <w:t>竹簡《二年律令·賊律》、張家山</w:t>
      </w:r>
      <w:r w:rsidRPr="009A6158">
        <w:rPr>
          <w:lang w:eastAsia="zh-TW"/>
        </w:rPr>
        <w:t>M336</w:t>
      </w:r>
      <w:r w:rsidRPr="009A6158">
        <w:rPr>
          <w:rFonts w:hint="eastAsia"/>
          <w:lang w:eastAsia="zh-TW"/>
        </w:rPr>
        <w:t>竹簡《賊律》相對讀。其中《二年律令·賊律》簡</w:t>
      </w:r>
      <w:r w:rsidRPr="009A6158">
        <w:rPr>
          <w:lang w:eastAsia="zh-TW"/>
        </w:rPr>
        <w:t>1-2</w:t>
      </w:r>
      <w:r w:rsidRPr="009A6158">
        <w:rPr>
          <w:rFonts w:hint="eastAsia"/>
          <w:lang w:eastAsia="zh-TW"/>
        </w:rPr>
        <w:t>：“以城邑亭障反，降諸侯，及守乘城亭障，諸侯人來攻盜，不堅守而</w:t>
      </w:r>
      <w:r w:rsidRPr="009A6158">
        <w:rPr>
          <w:rFonts w:hint="eastAsia"/>
          <w:lang w:eastAsia="zh-TW"/>
        </w:rPr>
        <w:t>棄</w:t>
      </w:r>
      <w:r w:rsidRPr="009A6158">
        <w:rPr>
          <w:rFonts w:hint="eastAsia"/>
          <w:lang w:eastAsia="zh-TW"/>
        </w:rPr>
        <w:t>去之，若降之，及謀反者，皆腰斬。其父母、妻子、同産無少長，皆</w:t>
      </w:r>
      <w:r w:rsidRPr="009A6158">
        <w:rPr>
          <w:rFonts w:hint="eastAsia"/>
          <w:lang w:eastAsia="zh-TW"/>
        </w:rPr>
        <w:t>棄</w:t>
      </w:r>
      <w:r w:rsidRPr="009A6158">
        <w:rPr>
          <w:rFonts w:hint="eastAsia"/>
          <w:lang w:eastAsia="zh-TW"/>
        </w:rPr>
        <w:t>市。其坐謀反者，能徧捕，若先告吏，皆除坐者罪。”張家山</w:t>
      </w:r>
      <w:r w:rsidRPr="009A6158">
        <w:rPr>
          <w:lang w:eastAsia="zh-TW"/>
        </w:rPr>
        <w:t>M336</w:t>
      </w:r>
      <w:r w:rsidRPr="009A6158">
        <w:rPr>
          <w:rFonts w:hint="eastAsia"/>
          <w:lang w:eastAsia="zh-TW"/>
        </w:rPr>
        <w:t>竹簡《賊律》類似律條作：“以城邑亭鄣反</w:t>
      </w:r>
      <w:r w:rsidRPr="009A6158">
        <w:rPr>
          <w:lang w:eastAsia="zh-TW"/>
        </w:rPr>
        <w:t>,</w:t>
      </w:r>
      <w:r w:rsidRPr="009A6158">
        <w:rPr>
          <w:rFonts w:hint="eastAsia"/>
          <w:lang w:eastAsia="zh-TW"/>
        </w:rPr>
        <w:t>降諸侯</w:t>
      </w:r>
      <w:r w:rsidRPr="009A6158">
        <w:rPr>
          <w:lang w:eastAsia="zh-TW"/>
        </w:rPr>
        <w:t>,</w:t>
      </w:r>
      <w:r w:rsidRPr="009A6158">
        <w:rPr>
          <w:rFonts w:hint="eastAsia"/>
          <w:lang w:eastAsia="zh-TW"/>
        </w:rPr>
        <w:t>及守乘城亭鄣</w:t>
      </w:r>
      <w:r w:rsidRPr="009A6158">
        <w:rPr>
          <w:lang w:eastAsia="zh-TW"/>
        </w:rPr>
        <w:t>,</w:t>
      </w:r>
      <w:r w:rsidRPr="009A6158">
        <w:rPr>
          <w:rFonts w:hint="eastAsia"/>
          <w:lang w:eastAsia="zh-TW"/>
        </w:rPr>
        <w:t>諸侯人來攻盜</w:t>
      </w:r>
      <w:r w:rsidRPr="009A6158">
        <w:rPr>
          <w:lang w:eastAsia="zh-TW"/>
        </w:rPr>
        <w:t>,</w:t>
      </w:r>
      <w:r w:rsidRPr="009A6158">
        <w:rPr>
          <w:rFonts w:hint="eastAsia"/>
          <w:lang w:eastAsia="zh-TW"/>
        </w:rPr>
        <w:t>不堅守而</w:t>
      </w:r>
      <w:r w:rsidRPr="009A6158">
        <w:rPr>
          <w:rFonts w:hint="eastAsia"/>
          <w:lang w:eastAsia="zh-TW"/>
        </w:rPr>
        <w:t>棄</w:t>
      </w:r>
      <w:r w:rsidRPr="009A6158">
        <w:rPr>
          <w:rFonts w:hint="eastAsia"/>
          <w:lang w:eastAsia="zh-TW"/>
        </w:rPr>
        <w:t>去之若降之，及謀反者，皆要（腰）斬</w:t>
      </w:r>
      <w:r w:rsidRPr="009A6158">
        <w:rPr>
          <w:lang w:eastAsia="zh-TW"/>
        </w:rPr>
        <w:t xml:space="preserve"> </w:t>
      </w:r>
      <w:r w:rsidRPr="009A6158">
        <w:rPr>
          <w:rFonts w:hint="eastAsia"/>
          <w:lang w:eastAsia="zh-TW"/>
        </w:rPr>
        <w:t>。”張家山</w:t>
      </w:r>
      <w:r w:rsidRPr="009A6158">
        <w:rPr>
          <w:rFonts w:ascii="华文楷体" w:hAnsi="华文楷体"/>
          <w:lang w:eastAsia="zh-TW"/>
        </w:rPr>
        <w:t>M247</w:t>
      </w:r>
      <w:r w:rsidRPr="009A6158">
        <w:rPr>
          <w:rFonts w:hint="eastAsia"/>
          <w:lang w:eastAsia="zh-TW"/>
        </w:rPr>
        <w:t>《二年律令》時代在呂</w:t>
      </w:r>
      <w:r>
        <w:rPr>
          <w:rFonts w:hint="eastAsia"/>
          <w:lang w:eastAsia="zh-TW"/>
        </w:rPr>
        <w:t>后</w:t>
      </w:r>
      <w:r w:rsidRPr="009A6158">
        <w:rPr>
          <w:rFonts w:hint="eastAsia"/>
          <w:lang w:eastAsia="zh-TW"/>
        </w:rPr>
        <w:t>二年。張家山</w:t>
      </w:r>
      <w:r w:rsidRPr="009A6158">
        <w:rPr>
          <w:lang w:eastAsia="zh-TW"/>
        </w:rPr>
        <w:t>M336</w:t>
      </w:r>
      <w:r w:rsidRPr="009A6158">
        <w:rPr>
          <w:rFonts w:hint="eastAsia"/>
          <w:lang w:eastAsia="zh-TW"/>
        </w:rPr>
        <w:t>漢律與《七年質日》同出，年代下限是漢文帝前元七年。簡文删去親屬連坐規定，與《漢書·文帝紀》二年“盡除收帑相坐律令”相合，則其時代當在文帝二年或其後。比較而言，</w:t>
      </w:r>
      <w:r w:rsidRPr="009A6158">
        <w:rPr>
          <w:rFonts w:ascii="Times New Roman" w:hAnsi="Times New Roman" w:hint="eastAsia"/>
          <w:shd w:val="clear" w:color="auto" w:fill="FCFCFC"/>
          <w:lang w:eastAsia="zh-TW"/>
        </w:rPr>
        <w:t>胡家草場簡仍有</w:t>
      </w:r>
      <w:r w:rsidRPr="009A6158">
        <w:rPr>
          <w:rFonts w:hint="eastAsia"/>
          <w:lang w:eastAsia="zh-TW"/>
        </w:rPr>
        <w:t>罪犯親屬坐罪及謀反坐罪者免罪的規定，幷且增加决獄程序。</w:t>
      </w:r>
    </w:p>
    <w:p w14:paraId="0313C31C" w14:textId="66CB6863" w:rsidR="00393C80" w:rsidRPr="00393C80" w:rsidRDefault="009A6158" w:rsidP="009A6158">
      <w:pPr>
        <w:pStyle w:val="ab"/>
        <w:ind w:firstLine="560"/>
        <w:rPr>
          <w:rFonts w:ascii="Times New Roman" w:hAnsi="Times New Roman"/>
          <w:shd w:val="clear" w:color="auto" w:fill="FCFCFC"/>
          <w:lang w:eastAsia="zh-TW"/>
        </w:rPr>
      </w:pPr>
      <w:r w:rsidRPr="009A6158">
        <w:rPr>
          <w:rFonts w:hint="eastAsia"/>
          <w:lang w:eastAsia="zh-TW"/>
        </w:rPr>
        <w:t>對于胡家草場《賊律》仍存在連坐犯罪者親屬的規定這一特點，</w:t>
      </w:r>
      <w:r w:rsidRPr="009A6158">
        <w:rPr>
          <w:rFonts w:ascii="Times New Roman" w:hAnsi="Times New Roman" w:hint="eastAsia"/>
          <w:shd w:val="clear" w:color="auto" w:fill="FCFCFC"/>
          <w:lang w:eastAsia="zh-TW"/>
        </w:rPr>
        <w:t>彭浩先生有解釋：“胡家草場這條《賊律》簡的年代有兩個可供考慮</w:t>
      </w:r>
      <w:r w:rsidRPr="009A6158">
        <w:rPr>
          <w:rFonts w:ascii="Times New Roman" w:hAnsi="Times New Roman" w:hint="eastAsia"/>
          <w:shd w:val="clear" w:color="auto" w:fill="FCFCFC"/>
          <w:lang w:eastAsia="zh-TW"/>
        </w:rPr>
        <w:lastRenderedPageBreak/>
        <w:t>的可能，一是早于《二年律令》，在收入《二年律令》時删繁就簡；另一種可能是晚于</w:t>
      </w:r>
      <w:r w:rsidRPr="009A6158">
        <w:rPr>
          <w:rFonts w:ascii="Times New Roman" w:hAnsi="Times New Roman"/>
          <w:shd w:val="clear" w:color="auto" w:fill="FCFCFC"/>
          <w:lang w:eastAsia="zh-TW"/>
        </w:rPr>
        <w:t>M336</w:t>
      </w:r>
      <w:r w:rsidRPr="009A6158">
        <w:rPr>
          <w:rFonts w:ascii="Times New Roman" w:hAnsi="Times New Roman" w:hint="eastAsia"/>
          <w:shd w:val="clear" w:color="auto" w:fill="FCFCFC"/>
          <w:lang w:eastAsia="zh-TW"/>
        </w:rPr>
        <w:t>《賊律》。但後者于文獻無</w:t>
      </w:r>
      <w:r w:rsidR="0029793E">
        <w:rPr>
          <w:rFonts w:ascii="Times New Roman" w:hAnsi="Times New Roman" w:hint="eastAsia"/>
          <w:shd w:val="clear" w:color="auto" w:fill="FCFCFC"/>
          <w:lang w:eastAsia="zh-TW"/>
        </w:rPr>
        <w:t>徵</w:t>
      </w:r>
      <w:r w:rsidRPr="009A6158">
        <w:rPr>
          <w:rFonts w:ascii="Times New Roman" w:hAnsi="Times New Roman" w:hint="eastAsia"/>
          <w:shd w:val="clear" w:color="auto" w:fill="FCFCFC"/>
          <w:lang w:eastAsia="zh-TW"/>
        </w:rPr>
        <w:t>，即使在漢景帝三年（前</w:t>
      </w:r>
      <w:r w:rsidRPr="009A6158">
        <w:rPr>
          <w:rFonts w:ascii="Times New Roman" w:hAnsi="Times New Roman"/>
          <w:shd w:val="clear" w:color="auto" w:fill="FCFCFC"/>
          <w:lang w:eastAsia="zh-TW"/>
        </w:rPr>
        <w:t>154</w:t>
      </w:r>
      <w:r w:rsidRPr="009A6158">
        <w:rPr>
          <w:rFonts w:ascii="Times New Roman" w:hAnsi="Times New Roman" w:hint="eastAsia"/>
          <w:shd w:val="clear" w:color="auto" w:fill="FCFCFC"/>
          <w:lang w:eastAsia="zh-TW"/>
        </w:rPr>
        <w:t>）吳楚七國之亂後也未見修改此律的記載。由此或可判斷，《二年律令·賊律》簡</w:t>
      </w:r>
      <w:r w:rsidRPr="009A6158">
        <w:rPr>
          <w:rFonts w:ascii="Times New Roman" w:hAnsi="Times New Roman"/>
          <w:shd w:val="clear" w:color="auto" w:fill="FCFCFC"/>
          <w:lang w:eastAsia="zh-TW"/>
        </w:rPr>
        <w:t>1-2</w:t>
      </w:r>
      <w:r w:rsidRPr="009A6158">
        <w:rPr>
          <w:rFonts w:ascii="Times New Roman" w:hAnsi="Times New Roman" w:hint="eastAsia"/>
          <w:shd w:val="clear" w:color="auto" w:fill="FCFCFC"/>
          <w:lang w:eastAsia="zh-TW"/>
        </w:rPr>
        <w:t>可能是對胡家草場簡《賊律》修改而來。如推測不誤，胡家草場此簡的年代應在《二年律令》簡</w:t>
      </w:r>
      <w:r w:rsidRPr="009A6158">
        <w:rPr>
          <w:rFonts w:ascii="Times New Roman" w:hAnsi="Times New Roman"/>
          <w:shd w:val="clear" w:color="auto" w:fill="FCFCFC"/>
          <w:lang w:eastAsia="zh-TW"/>
        </w:rPr>
        <w:t>1-2</w:t>
      </w:r>
      <w:r w:rsidRPr="009A6158">
        <w:rPr>
          <w:rFonts w:ascii="Times New Roman" w:hAnsi="Times New Roman" w:hint="eastAsia"/>
          <w:shd w:val="clear" w:color="auto" w:fill="FCFCFC"/>
          <w:lang w:eastAsia="zh-TW"/>
        </w:rPr>
        <w:t>之前，或是漢高祖高祖時期。”</w:t>
      </w:r>
      <w:r w:rsidR="00393C80" w:rsidRPr="00393C80">
        <w:rPr>
          <w:rFonts w:ascii="Times New Roman" w:hAnsi="Times New Roman"/>
          <w:shd w:val="clear" w:color="auto" w:fill="FCFCFC"/>
          <w:vertAlign w:val="superscript"/>
        </w:rPr>
        <w:endnoteReference w:id="9"/>
      </w:r>
    </w:p>
    <w:p w14:paraId="2830CDBC" w14:textId="1446098F" w:rsidR="00393C80" w:rsidRPr="00393C80" w:rsidRDefault="009A6158" w:rsidP="009A6158">
      <w:pPr>
        <w:pStyle w:val="ab"/>
        <w:ind w:firstLine="560"/>
        <w:rPr>
          <w:rFonts w:ascii="Times New Roman" w:hAnsi="Times New Roman"/>
          <w:shd w:val="clear" w:color="auto" w:fill="FCFCFC"/>
          <w:lang w:eastAsia="zh-TW"/>
        </w:rPr>
      </w:pPr>
      <w:r w:rsidRPr="009A6158">
        <w:rPr>
          <w:rFonts w:ascii="Times New Roman" w:hAnsi="Times New Roman" w:hint="eastAsia"/>
          <w:shd w:val="clear" w:color="auto" w:fill="FCFCFC"/>
          <w:lang w:eastAsia="zh-TW"/>
        </w:rPr>
        <w:t>曹旅寧先生認爲彭說第二種說法較可靠，胡家草場此條律文應晚于</w:t>
      </w:r>
      <w:r w:rsidRPr="009A6158">
        <w:rPr>
          <w:rFonts w:ascii="Times New Roman" w:hAnsi="Times New Roman"/>
          <w:shd w:val="clear" w:color="auto" w:fill="FCFCFC"/>
          <w:lang w:eastAsia="zh-TW"/>
        </w:rPr>
        <w:t>M336</w:t>
      </w:r>
      <w:r w:rsidRPr="009A6158">
        <w:rPr>
          <w:rFonts w:ascii="Times New Roman" w:hAnsi="Times New Roman" w:hint="eastAsia"/>
          <w:shd w:val="clear" w:color="auto" w:fill="FCFCFC"/>
          <w:lang w:eastAsia="zh-TW"/>
        </w:rPr>
        <w:t>《賊律》，連坐犯罪家屬的法令在文帝統治後期或者景帝統治初期可能得以恢復。他據《史記·晁錯傳》晁父所言“吾不忍見禍及吾身”，認爲反映出收孥之制在景帝初年時依然存在，幷進一步指出“如果胡家草場《賊律》此條確爲文帝以後的漢律條文，也反映出漢初收孥連坐之制存廢的複雜情景”。</w:t>
      </w:r>
      <w:r w:rsidR="00393C80" w:rsidRPr="00393C80">
        <w:rPr>
          <w:rFonts w:ascii="Times New Roman" w:hAnsi="Times New Roman"/>
          <w:shd w:val="clear" w:color="auto" w:fill="FCFCFC"/>
          <w:vertAlign w:val="superscript"/>
        </w:rPr>
        <w:endnoteReference w:id="10"/>
      </w:r>
    </w:p>
    <w:p w14:paraId="7351607D" w14:textId="55D985DE" w:rsidR="00393C80" w:rsidRPr="00393C80" w:rsidRDefault="009A6158" w:rsidP="009A6158">
      <w:pPr>
        <w:pStyle w:val="ab"/>
        <w:ind w:firstLine="560"/>
        <w:rPr>
          <w:rFonts w:ascii="Times New Roman" w:hAnsi="Times New Roman"/>
          <w:shd w:val="clear" w:color="auto" w:fill="FCFCFC"/>
          <w:lang w:eastAsia="zh-TW"/>
        </w:rPr>
      </w:pPr>
      <w:r w:rsidRPr="009A6158">
        <w:rPr>
          <w:rFonts w:ascii="Times New Roman" w:hAnsi="Times New Roman" w:hint="eastAsia"/>
          <w:shd w:val="clear" w:color="auto" w:fill="FCFCFC"/>
          <w:lang w:eastAsia="zh-TW"/>
        </w:rPr>
        <w:t>按根據目前已公布的胡家草場漢律來看，其律文均體現出較晚的特徵。如因漢文帝除肉刑，故胡家草場《盜律》簡</w:t>
      </w:r>
      <w:r w:rsidRPr="009A6158">
        <w:rPr>
          <w:rFonts w:ascii="Times New Roman" w:hAnsi="Times New Roman"/>
          <w:shd w:val="clear" w:color="auto" w:fill="FCFCFC"/>
          <w:lang w:eastAsia="zh-TW"/>
        </w:rPr>
        <w:t>1374-1375</w:t>
      </w:r>
      <w:r w:rsidRPr="009A6158">
        <w:rPr>
          <w:rFonts w:ascii="Times New Roman" w:hAnsi="Times New Roman" w:hint="eastAsia"/>
          <w:shd w:val="clear" w:color="auto" w:fill="FCFCFC"/>
          <w:lang w:eastAsia="zh-TW"/>
        </w:rPr>
        <w:t>，《賊律》簡</w:t>
      </w:r>
      <w:r w:rsidRPr="009A6158">
        <w:rPr>
          <w:rFonts w:ascii="Times New Roman" w:hAnsi="Times New Roman"/>
          <w:shd w:val="clear" w:color="auto" w:fill="FCFCFC"/>
          <w:lang w:eastAsia="zh-TW"/>
        </w:rPr>
        <w:t>1260</w:t>
      </w:r>
      <w:r w:rsidRPr="009A6158">
        <w:rPr>
          <w:rFonts w:ascii="Times New Roman" w:hAnsi="Times New Roman" w:hint="eastAsia"/>
          <w:shd w:val="clear" w:color="auto" w:fill="FCFCFC"/>
          <w:lang w:eastAsia="zh-TW"/>
        </w:rPr>
        <w:t>將《二年律令》律條中的黥刑均改爲髡刑。又如胡家草場《盜律》</w:t>
      </w:r>
      <w:r w:rsidRPr="009A6158">
        <w:rPr>
          <w:rFonts w:ascii="Times New Roman" w:hAnsi="Times New Roman"/>
          <w:shd w:val="clear" w:color="auto" w:fill="FCFCFC"/>
          <w:lang w:eastAsia="zh-TW"/>
        </w:rPr>
        <w:t>1374-1375</w:t>
      </w:r>
      <w:r w:rsidRPr="009A6158">
        <w:rPr>
          <w:rFonts w:ascii="Times New Roman" w:hAnsi="Times New Roman" w:hint="eastAsia"/>
          <w:shd w:val="clear" w:color="auto" w:fill="FCFCFC"/>
          <w:lang w:eastAsia="zh-TW"/>
        </w:rPr>
        <w:t>關于盜贓錢數的規定或處罰均低于《二年律令·盜律》，均反映出减輕判罰的傾向。從部分文字表述來看，胡家草場漢律邏輯更嚴密，漏洞更少，文意更明晰，反映出後出轉精的特點。上文已提</w:t>
      </w:r>
      <w:r w:rsidRPr="009A6158">
        <w:rPr>
          <w:rFonts w:ascii="Times New Roman" w:hAnsi="Times New Roman" w:hint="eastAsia"/>
          <w:shd w:val="clear" w:color="auto" w:fill="FCFCFC"/>
          <w:lang w:eastAsia="zh-TW"/>
        </w:rPr>
        <w:lastRenderedPageBreak/>
        <w:t>到胡家草場《賜律》重修，使律文邏輯上更趨嚴密的例子。《二年律令·捕律》簡</w:t>
      </w:r>
      <w:r w:rsidRPr="009A6158">
        <w:rPr>
          <w:rFonts w:ascii="Times New Roman" w:hAnsi="Times New Roman"/>
          <w:shd w:val="clear" w:color="auto" w:fill="FCFCFC"/>
          <w:lang w:eastAsia="zh-TW"/>
        </w:rPr>
        <w:t>142</w:t>
      </w:r>
      <w:r w:rsidRPr="009A6158">
        <w:rPr>
          <w:rFonts w:ascii="Times New Roman" w:hAnsi="Times New Roman" w:hint="eastAsia"/>
          <w:shd w:val="clear" w:color="auto" w:fill="FCFCFC"/>
          <w:lang w:eastAsia="zh-TW"/>
        </w:rPr>
        <w:t>之“回”，胡家草場《捕律》簡</w:t>
      </w:r>
      <w:r w:rsidRPr="009A6158">
        <w:rPr>
          <w:rFonts w:ascii="Times New Roman" w:hAnsi="Times New Roman"/>
          <w:shd w:val="clear" w:color="auto" w:fill="FCFCFC"/>
          <w:lang w:eastAsia="zh-TW"/>
        </w:rPr>
        <w:t>1105</w:t>
      </w:r>
      <w:r w:rsidRPr="009A6158">
        <w:rPr>
          <w:rFonts w:ascii="Times New Roman" w:hAnsi="Times New Roman" w:hint="eastAsia"/>
          <w:shd w:val="clear" w:color="auto" w:fill="FCFCFC"/>
          <w:lang w:eastAsia="zh-TW"/>
        </w:rPr>
        <w:t>改作“回避”，就是文意更明晰的例子。</w:t>
      </w:r>
      <w:r w:rsidR="00393C80" w:rsidRPr="00393C80">
        <w:rPr>
          <w:rFonts w:ascii="Times New Roman" w:hAnsi="Times New Roman"/>
          <w:shd w:val="clear" w:color="auto" w:fill="FCFCFC"/>
          <w:vertAlign w:val="superscript"/>
        </w:rPr>
        <w:endnoteReference w:id="11"/>
      </w:r>
      <w:r w:rsidRPr="009A6158">
        <w:rPr>
          <w:rFonts w:ascii="Times New Roman" w:hAnsi="Times New Roman" w:hint="eastAsia"/>
          <w:shd w:val="clear" w:color="auto" w:fill="FCFCFC"/>
          <w:lang w:eastAsia="zh-TW"/>
        </w:rPr>
        <w:t>前引</w:t>
      </w:r>
      <w:r w:rsidRPr="009A6158">
        <w:rPr>
          <w:rFonts w:hint="eastAsia"/>
          <w:lang w:eastAsia="zh-TW"/>
        </w:rPr>
        <w:t>胡家草場《賊律》既然與</w:t>
      </w:r>
      <w:r w:rsidRPr="009A6158">
        <w:rPr>
          <w:rFonts w:ascii="Times New Roman" w:hAnsi="Times New Roman" w:hint="eastAsia"/>
          <w:shd w:val="clear" w:color="auto" w:fill="FCFCFC"/>
          <w:lang w:eastAsia="zh-TW"/>
        </w:rPr>
        <w:t>《盜律》簡</w:t>
      </w:r>
      <w:r w:rsidRPr="009A6158">
        <w:rPr>
          <w:rFonts w:ascii="Times New Roman" w:hAnsi="Times New Roman"/>
          <w:shd w:val="clear" w:color="auto" w:fill="FCFCFC"/>
          <w:lang w:eastAsia="zh-TW"/>
        </w:rPr>
        <w:t>1374-1375</w:t>
      </w:r>
      <w:r w:rsidRPr="009A6158">
        <w:rPr>
          <w:rFonts w:ascii="Times New Roman" w:hAnsi="Times New Roman" w:hint="eastAsia"/>
          <w:shd w:val="clear" w:color="auto" w:fill="FCFCFC"/>
          <w:lang w:eastAsia="zh-TW"/>
        </w:rPr>
        <w:t>、《賊律》</w:t>
      </w:r>
      <w:r w:rsidRPr="009A6158">
        <w:rPr>
          <w:rFonts w:ascii="Times New Roman" w:hAnsi="Times New Roman"/>
          <w:shd w:val="clear" w:color="auto" w:fill="FCFCFC"/>
          <w:lang w:eastAsia="zh-TW"/>
        </w:rPr>
        <w:t>1260</w:t>
      </w:r>
      <w:r w:rsidRPr="009A6158">
        <w:rPr>
          <w:rFonts w:ascii="Times New Roman" w:hAnsi="Times New Roman" w:hint="eastAsia"/>
          <w:shd w:val="clear" w:color="auto" w:fill="FCFCFC"/>
          <w:lang w:eastAsia="zh-TW"/>
        </w:rPr>
        <w:t>同時出土且編聯爲一册，顯然應該同時看待。因此</w:t>
      </w:r>
      <w:r w:rsidRPr="009A6158">
        <w:rPr>
          <w:rFonts w:hint="eastAsia"/>
          <w:lang w:eastAsia="zh-TW"/>
        </w:rPr>
        <w:t>胡家草場《賊律》有關親屬連坐的律文，其時代與其餘律文相同，也應是文帝</w:t>
      </w:r>
      <w:r w:rsidRPr="009A6158">
        <w:rPr>
          <w:rFonts w:hint="eastAsia"/>
          <w:shd w:val="clear" w:color="auto" w:fill="FCFCFC"/>
          <w:lang w:eastAsia="zh-TW"/>
        </w:rPr>
        <w:t>前元十六年或稍前。</w:t>
      </w:r>
    </w:p>
    <w:p w14:paraId="13EF9F49" w14:textId="3FAE504A" w:rsidR="00393C80" w:rsidRPr="00393C80" w:rsidRDefault="0029793E" w:rsidP="0029793E">
      <w:pPr>
        <w:pStyle w:val="ab"/>
        <w:ind w:firstLine="560"/>
        <w:rPr>
          <w:lang w:eastAsia="zh-TW"/>
        </w:rPr>
      </w:pPr>
      <w:r w:rsidRPr="0029793E">
        <w:rPr>
          <w:rFonts w:hint="eastAsia"/>
          <w:shd w:val="clear" w:color="auto" w:fill="FCFCFC"/>
          <w:lang w:eastAsia="zh-TW"/>
        </w:rPr>
        <w:t>彭年先生、上引曹文均已經提到景帝時期收孥連坐制度仍存在。彭年先生指出漢景帝平定吳楚“七國之亂”後，將“其首事者妻、子沒入爲官奴婢”，這說明文帝“盡除收律”的詔令已變成有名無實的一紙具文。</w:t>
      </w:r>
      <w:r w:rsidR="00393C80" w:rsidRPr="00393C80">
        <w:rPr>
          <w:shd w:val="clear" w:color="auto" w:fill="FCFCFC"/>
          <w:vertAlign w:val="superscript"/>
        </w:rPr>
        <w:endnoteReference w:id="12"/>
      </w:r>
      <w:r w:rsidRPr="0029793E">
        <w:rPr>
          <w:rFonts w:hint="eastAsia"/>
          <w:shd w:val="clear" w:color="auto" w:fill="FCFCFC"/>
          <w:lang w:eastAsia="zh-TW"/>
        </w:rPr>
        <w:t>從</w:t>
      </w:r>
      <w:r w:rsidRPr="0029793E">
        <w:rPr>
          <w:rFonts w:hint="eastAsia"/>
          <w:lang w:eastAsia="zh-TW"/>
        </w:rPr>
        <w:t>胡家草場《賊律》來看，</w:t>
      </w:r>
      <w:r w:rsidRPr="0029793E">
        <w:rPr>
          <w:rFonts w:hint="eastAsia"/>
          <w:shd w:val="clear" w:color="auto" w:fill="FCFCFC"/>
          <w:lang w:eastAsia="zh-TW"/>
        </w:rPr>
        <w:t>景帝時期實行收孥連坐制，應該就是繼承自文帝元年之後的法律。結合</w:t>
      </w:r>
      <w:r w:rsidRPr="0029793E">
        <w:rPr>
          <w:rFonts w:hint="eastAsia"/>
          <w:lang w:eastAsia="zh-TW"/>
        </w:rPr>
        <w:t>張家山</w:t>
      </w:r>
      <w:r w:rsidRPr="0029793E">
        <w:rPr>
          <w:lang w:eastAsia="zh-TW"/>
        </w:rPr>
        <w:t>M336</w:t>
      </w:r>
      <w:r w:rsidRPr="0029793E">
        <w:rPr>
          <w:rFonts w:hint="eastAsia"/>
          <w:lang w:eastAsia="zh-TW"/>
        </w:rPr>
        <w:t>《賊律》、胡家草場《賊律》來看，</w:t>
      </w:r>
      <w:r w:rsidRPr="0029793E">
        <w:rPr>
          <w:rFonts w:hint="eastAsia"/>
          <w:shd w:val="clear" w:color="auto" w:fill="FCFCFC"/>
          <w:lang w:eastAsia="zh-TW"/>
        </w:rPr>
        <w:t>文帝二年確實曾</w:t>
      </w:r>
      <w:r w:rsidRPr="0029793E">
        <w:rPr>
          <w:rFonts w:hint="eastAsia"/>
          <w:lang w:eastAsia="zh-TW"/>
        </w:rPr>
        <w:t>“盡除收帑相坐律令”，但在其後某一時期又曾經恢復。與張家山</w:t>
      </w:r>
      <w:r w:rsidRPr="0029793E">
        <w:rPr>
          <w:lang w:eastAsia="zh-TW"/>
        </w:rPr>
        <w:t>M336</w:t>
      </w:r>
      <w:r w:rsidRPr="0029793E">
        <w:rPr>
          <w:rFonts w:hint="eastAsia"/>
          <w:lang w:eastAsia="zh-TW"/>
        </w:rPr>
        <w:t>漢律同出的《七年質日》年代爲文帝七年，則</w:t>
      </w:r>
      <w:r w:rsidRPr="0029793E">
        <w:rPr>
          <w:lang w:eastAsia="zh-TW"/>
        </w:rPr>
        <w:t>M336</w:t>
      </w:r>
      <w:r w:rsidRPr="0029793E">
        <w:rPr>
          <w:rFonts w:hint="eastAsia"/>
          <w:lang w:eastAsia="zh-TW"/>
        </w:rPr>
        <w:t>漢律通行的時代應在此時或稍前。綜合考慮，胡家草場《賊律》對律文進行重修其時代或要晚到文帝七年以後。</w:t>
      </w:r>
    </w:p>
    <w:p w14:paraId="6ABE815E" w14:textId="04FAEF8F" w:rsidR="00393C80" w:rsidRPr="00393C80" w:rsidRDefault="0029793E" w:rsidP="0029793E">
      <w:pPr>
        <w:pStyle w:val="ab"/>
        <w:ind w:firstLine="560"/>
        <w:rPr>
          <w:lang w:eastAsia="zh-TW"/>
        </w:rPr>
      </w:pPr>
      <w:r w:rsidRPr="0029793E">
        <w:rPr>
          <w:rFonts w:hint="eastAsia"/>
          <w:lang w:eastAsia="zh-TW"/>
        </w:rPr>
        <w:t>《漢書·刑法志》謂高</w:t>
      </w:r>
      <w:r w:rsidR="007D1AEF">
        <w:rPr>
          <w:rFonts w:hint="eastAsia"/>
          <w:lang w:eastAsia="zh-TW"/>
        </w:rPr>
        <w:t>后</w:t>
      </w:r>
      <w:r w:rsidRPr="0029793E">
        <w:rPr>
          <w:rFonts w:hint="eastAsia"/>
          <w:lang w:eastAsia="zh-TW"/>
        </w:rPr>
        <w:t>元年“除三族罪”，文帝</w:t>
      </w:r>
      <w:r w:rsidRPr="0029793E">
        <w:rPr>
          <w:rFonts w:hAnsi="Calibri" w:cs="宋体" w:hint="eastAsia"/>
          <w:kern w:val="0"/>
          <w:lang w:eastAsia="zh-TW"/>
        </w:rPr>
        <w:t>十七年</w:t>
      </w:r>
      <w:r w:rsidRPr="0029793E">
        <w:rPr>
          <w:rFonts w:hint="eastAsia"/>
          <w:lang w:eastAsia="zh-TW"/>
        </w:rPr>
        <w:t>“新垣平謀爲逆，</w:t>
      </w:r>
      <w:r w:rsidR="007D1AEF">
        <w:rPr>
          <w:rFonts w:hint="eastAsia"/>
          <w:lang w:eastAsia="zh-TW"/>
        </w:rPr>
        <w:t>復</w:t>
      </w:r>
      <w:r w:rsidRPr="0029793E">
        <w:rPr>
          <w:rFonts w:hint="eastAsia"/>
          <w:lang w:eastAsia="zh-TW"/>
        </w:rPr>
        <w:t>行三族之誅”。族刑、</w:t>
      </w:r>
      <w:r w:rsidRPr="0029793E">
        <w:rPr>
          <w:rFonts w:hint="eastAsia"/>
          <w:shd w:val="clear" w:color="auto" w:fill="FCFCFC"/>
          <w:lang w:eastAsia="zh-TW"/>
        </w:rPr>
        <w:t>收孥、連坐諸種刑罰多施于謀逆等重罪，既然</w:t>
      </w:r>
      <w:r w:rsidRPr="0029793E">
        <w:rPr>
          <w:rFonts w:hint="eastAsia"/>
          <w:lang w:eastAsia="zh-TW"/>
        </w:rPr>
        <w:t>除三族罪因新垣平謀逆而</w:t>
      </w:r>
      <w:r w:rsidR="007D1AEF">
        <w:rPr>
          <w:rFonts w:hint="eastAsia"/>
          <w:lang w:eastAsia="zh-TW"/>
        </w:rPr>
        <w:t>復</w:t>
      </w:r>
      <w:r w:rsidRPr="0029793E">
        <w:rPr>
          <w:rFonts w:hint="eastAsia"/>
          <w:lang w:eastAsia="zh-TW"/>
        </w:rPr>
        <w:t>行，</w:t>
      </w:r>
      <w:r w:rsidRPr="0029793E">
        <w:rPr>
          <w:rFonts w:hint="eastAsia"/>
          <w:shd w:val="clear" w:color="auto" w:fill="FCFCFC"/>
          <w:lang w:eastAsia="zh-TW"/>
        </w:rPr>
        <w:t>收孥連坐罪當然也可能</w:t>
      </w:r>
      <w:r w:rsidRPr="0029793E">
        <w:rPr>
          <w:rFonts w:hint="eastAsia"/>
          <w:shd w:val="clear" w:color="auto" w:fill="FCFCFC"/>
          <w:lang w:eastAsia="zh-TW"/>
        </w:rPr>
        <w:lastRenderedPageBreak/>
        <w:t>因某重大事件而</w:t>
      </w:r>
      <w:r w:rsidR="007D1AEF">
        <w:rPr>
          <w:rFonts w:hint="eastAsia"/>
          <w:lang w:eastAsia="zh-TW"/>
        </w:rPr>
        <w:t>復</w:t>
      </w:r>
      <w:r w:rsidRPr="0029793E">
        <w:rPr>
          <w:rFonts w:hint="eastAsia"/>
          <w:lang w:eastAsia="zh-TW"/>
        </w:rPr>
        <w:t>行。《漢書·文帝紀》有三年濟北王劉興居謀反、六年淮南王劉長謀反事，但前者處置措施爲“虜其王，赦濟北諸吏民與王反者”，後者是“帝不忍致法于王，赦其罪，廢勿王”。從上引兩例來看文帝前期即使對諸侯王謀反者亦采取或誅其首事者或赦其罪的辦法，這固然與漢初省禁約法、放寬刑法的大環境相關，也因當時法律仍規定針對謀反者可除三族罪、收帑相坐罪。但接連發生的諸侯王謀反事件，不能不讓文帝早做防範。胡家草場《賊律》對律文重修，可能就是文帝后來嚴加防範諸侯王諸多措施之一。</w:t>
      </w:r>
    </w:p>
    <w:p w14:paraId="2975E8CA" w14:textId="256F1DC2" w:rsidR="00393C80" w:rsidRPr="00393C80" w:rsidRDefault="007D1AEF" w:rsidP="007D1AEF">
      <w:pPr>
        <w:pStyle w:val="ab"/>
        <w:ind w:firstLine="560"/>
        <w:rPr>
          <w:lang w:eastAsia="zh-TW"/>
        </w:rPr>
      </w:pPr>
      <w:r w:rsidRPr="007D1AEF">
        <w:rPr>
          <w:rFonts w:hint="eastAsia"/>
          <w:lang w:eastAsia="zh-TW"/>
        </w:rPr>
        <w:t>《漢書·刑法志》載文帝二年擬“除收律相坐法”，詔群臣議之：“</w:t>
      </w:r>
      <w:r w:rsidRPr="007D1AEF">
        <w:rPr>
          <w:rFonts w:hAnsi="Calibri" w:cs="宋体" w:hint="eastAsia"/>
          <w:color w:val="000000"/>
          <w:kern w:val="0"/>
          <w:lang w:eastAsia="zh-TW"/>
        </w:rPr>
        <w:t>左右丞相周勃、陳平奏言：‘父母妻子同産相坐及收，所以累其心，使重犯法也。收之之道，所由來久矣。臣之愚計</w:t>
      </w:r>
      <w:r w:rsidRPr="007D1AEF">
        <w:rPr>
          <w:rFonts w:hAnsi="Calibri" w:cs="宋体" w:hint="eastAsia"/>
          <w:kern w:val="0"/>
          <w:lang w:eastAsia="zh-TW"/>
        </w:rPr>
        <w:t>，以爲如其故便。’</w:t>
      </w:r>
      <w:r w:rsidRPr="007D1AEF">
        <w:rPr>
          <w:rFonts w:hint="eastAsia"/>
          <w:lang w:eastAsia="zh-TW"/>
        </w:rPr>
        <w:t>”已經指出這一措施有可能帶來之負面結果。但當時朝廷重在收民心、固皇權，因此仍以此詔入律。《漢書·賈誼傳》載淮南、濟北王皆爲逆誅之後，賈誼數上疏陳政事，爲維護天子的最高威嚴制定“割地定制”，即“衆建諸侯而少其力”的方針。其策謂：“</w:t>
      </w:r>
      <w:r w:rsidRPr="007D1AEF">
        <w:rPr>
          <w:rFonts w:hAnsi="Calibri" w:cs="宋体" w:hint="eastAsia"/>
          <w:kern w:val="0"/>
          <w:lang w:eastAsia="zh-TW"/>
        </w:rPr>
        <w:t>割地定制，令齊、趙、楚各爲若干國，使悼惠王、幽王、元王之子孫畢以次各受祖之分地，地盡而止，及燕、梁它國皆然。其分地衆而子孫少者，建以爲國，空而置之，須其子孫生者，舉使君之。諸侯之地其削頗入漢者，爲徙</w:t>
      </w:r>
      <w:r w:rsidRPr="007D1AEF">
        <w:rPr>
          <w:rFonts w:hAnsi="Calibri" w:cs="宋体" w:hint="eastAsia"/>
          <w:kern w:val="0"/>
          <w:lang w:eastAsia="zh-TW"/>
        </w:rPr>
        <w:lastRenderedPageBreak/>
        <w:t>其侯國及封其子孫也，所以數償之；一寸之地，一人之衆，天子亡所利焉，誠以定治而已，故天下咸知陛下之廉。地制壹定，宗室子孫莫慮不王，下無倍畔之心，上無誅伐之志，故天下咸知陛下之仁。法立而不犯，令行而不逆，貫高、利幾之謀不生，柴奇、開章之計不萌，</w:t>
      </w:r>
      <w:r w:rsidRPr="007D1AEF">
        <w:rPr>
          <w:rFonts w:hAnsi="Calibri" w:cs="宋体" w:hint="eastAsia"/>
          <w:color w:val="000000"/>
          <w:kern w:val="0"/>
          <w:lang w:eastAsia="zh-TW"/>
        </w:rPr>
        <w:t>細民鄉善，大臣致順，故天下咸知陛下之義。</w:t>
      </w:r>
      <w:r w:rsidRPr="007D1AEF">
        <w:rPr>
          <w:rFonts w:hint="eastAsia"/>
          <w:lang w:eastAsia="zh-TW"/>
        </w:rPr>
        <w:t>”文帝十分欣賞賈誼之策，但爲穩定政局，此一激進的政治構想的實施尚需等待時機。《漢書·賈誼傳》載文帝十六年：“</w:t>
      </w:r>
      <w:r w:rsidRPr="007D1AEF">
        <w:rPr>
          <w:rFonts w:hAnsi="Calibri" w:cs="宋体" w:hint="eastAsia"/>
          <w:color w:val="000000"/>
          <w:kern w:val="0"/>
          <w:lang w:eastAsia="zh-TW"/>
        </w:rPr>
        <w:t>齊文王薨，亡子。文帝思賈生之言，乃分齊爲六國，盡立悼惠王子六人爲王；又遷淮南王喜于城陽，而分淮南爲三國，盡立厲王三子以王之。</w:t>
      </w:r>
      <w:r w:rsidRPr="007D1AEF">
        <w:rPr>
          <w:rFonts w:hint="eastAsia"/>
          <w:lang w:eastAsia="zh-TW"/>
        </w:rPr>
        <w:t>”賈誼</w:t>
      </w:r>
      <w:r w:rsidR="004C2990">
        <w:rPr>
          <w:rFonts w:hint="eastAsia"/>
          <w:lang w:eastAsia="zh-TW"/>
        </w:rPr>
        <w:t>關於</w:t>
      </w:r>
      <w:r w:rsidRPr="007D1AEF">
        <w:rPr>
          <w:rFonts w:hint="eastAsia"/>
          <w:lang w:eastAsia="zh-TW"/>
        </w:rPr>
        <w:t>衆建諸侯的建議，至此才得以施行。值得注意的是，胡家草場漢律的年代在文帝</w:t>
      </w:r>
      <w:r w:rsidRPr="007D1AEF">
        <w:rPr>
          <w:rFonts w:hint="eastAsia"/>
          <w:color w:val="000000"/>
          <w:shd w:val="clear" w:color="auto" w:fill="FCFCFC"/>
          <w:lang w:eastAsia="zh-TW"/>
        </w:rPr>
        <w:t>十六年或稍前，其時間綫亦指向</w:t>
      </w:r>
      <w:r w:rsidRPr="007D1AEF">
        <w:rPr>
          <w:rFonts w:hint="eastAsia"/>
          <w:lang w:eastAsia="zh-TW"/>
        </w:rPr>
        <w:t>文帝</w:t>
      </w:r>
      <w:r w:rsidRPr="007D1AEF">
        <w:rPr>
          <w:rFonts w:hint="eastAsia"/>
          <w:color w:val="000000"/>
          <w:shd w:val="clear" w:color="auto" w:fill="FCFCFC"/>
          <w:lang w:eastAsia="zh-TW"/>
        </w:rPr>
        <w:t>十六年。這不能不讓人懷疑</w:t>
      </w:r>
      <w:r w:rsidRPr="007D1AEF">
        <w:rPr>
          <w:rFonts w:hint="eastAsia"/>
          <w:lang w:eastAsia="zh-TW"/>
        </w:rPr>
        <w:t>胡家草場《賊律》</w:t>
      </w:r>
      <w:r w:rsidR="004C2990">
        <w:rPr>
          <w:rFonts w:hint="eastAsia"/>
          <w:lang w:eastAsia="zh-TW"/>
        </w:rPr>
        <w:t>復</w:t>
      </w:r>
      <w:r w:rsidRPr="007D1AEF">
        <w:rPr>
          <w:rFonts w:ascii="Times New Roman" w:hAnsi="Times New Roman" w:hint="eastAsia"/>
          <w:color w:val="000000"/>
          <w:shd w:val="clear" w:color="auto" w:fill="FCFCFC"/>
          <w:lang w:eastAsia="zh-TW"/>
        </w:rPr>
        <w:t>收孥連坐之法，乃是與</w:t>
      </w:r>
      <w:r w:rsidRPr="007D1AEF">
        <w:rPr>
          <w:rFonts w:hint="eastAsia"/>
          <w:lang w:eastAsia="zh-TW"/>
        </w:rPr>
        <w:t>“割地定制”政策相關的舉措之一。賈誼之策要做到“</w:t>
      </w:r>
      <w:r w:rsidRPr="007D1AEF">
        <w:rPr>
          <w:rFonts w:hAnsi="Calibri" w:cs="宋体" w:hint="eastAsia"/>
          <w:kern w:val="0"/>
          <w:lang w:eastAsia="zh-TW"/>
        </w:rPr>
        <w:t>法立而不犯，令行而不逆，貫高、利幾之謀不生，柴奇、開章之計不萌</w:t>
      </w:r>
      <w:r w:rsidRPr="007D1AEF">
        <w:rPr>
          <w:rFonts w:hint="eastAsia"/>
          <w:lang w:eastAsia="zh-TW"/>
        </w:rPr>
        <w:t>”，那麽防範、懲罰這些謀逆行爲的舉措必然會在法律層面有所規定或體現。因此，我們認爲文帝十六年或有可能</w:t>
      </w:r>
      <w:r w:rsidR="004C2990">
        <w:rPr>
          <w:rFonts w:hint="eastAsia"/>
          <w:lang w:eastAsia="zh-TW"/>
        </w:rPr>
        <w:t>是</w:t>
      </w:r>
      <w:bookmarkStart w:id="1" w:name="_Hlk91827515"/>
      <w:r w:rsidR="004C2990">
        <w:rPr>
          <w:rFonts w:hint="eastAsia"/>
          <w:lang w:eastAsia="zh-TW"/>
        </w:rPr>
        <w:t>復</w:t>
      </w:r>
      <w:bookmarkEnd w:id="1"/>
      <w:r w:rsidRPr="007D1AEF">
        <w:rPr>
          <w:rFonts w:ascii="Times New Roman" w:hAnsi="Times New Roman" w:hint="eastAsia"/>
          <w:color w:val="000000"/>
          <w:shd w:val="clear" w:color="auto" w:fill="FCFCFC"/>
          <w:lang w:eastAsia="zh-TW"/>
        </w:rPr>
        <w:t>收孥連坐之法之年，或者至少應是</w:t>
      </w:r>
      <w:r w:rsidR="004C2990" w:rsidRPr="004C2990">
        <w:rPr>
          <w:rFonts w:hint="eastAsia"/>
          <w:lang w:eastAsia="zh-TW"/>
        </w:rPr>
        <w:t>復</w:t>
      </w:r>
      <w:r w:rsidRPr="007D1AEF">
        <w:rPr>
          <w:rFonts w:ascii="Times New Roman" w:hAnsi="Times New Roman" w:hint="eastAsia"/>
          <w:color w:val="000000"/>
          <w:shd w:val="clear" w:color="auto" w:fill="FCFCFC"/>
          <w:lang w:eastAsia="zh-TW"/>
        </w:rPr>
        <w:t>收孥連坐之法的時代下限。</w:t>
      </w:r>
    </w:p>
    <w:p w14:paraId="2B70479B" w14:textId="451CE7B6" w:rsidR="00393C80" w:rsidRPr="00393C80" w:rsidRDefault="004C2990" w:rsidP="004C2990">
      <w:pPr>
        <w:pStyle w:val="ab"/>
        <w:ind w:firstLine="560"/>
      </w:pPr>
      <w:r w:rsidRPr="004C2990">
        <w:rPr>
          <w:rFonts w:hint="eastAsia"/>
          <w:lang w:eastAsia="zh-TW"/>
        </w:rPr>
        <w:t>胡家草場《賊律》較之前代法律增加了决獄程序，即“謀反者獄具，二千石官案掾移廷，廷以聞，有報，乃以從事”。對此處文字，</w:t>
      </w:r>
      <w:r w:rsidRPr="004C2990">
        <w:rPr>
          <w:rFonts w:hint="eastAsia"/>
          <w:lang w:eastAsia="zh-TW"/>
        </w:rPr>
        <w:lastRenderedPageBreak/>
        <w:t>彭浩先生有論：“據《二年律令》簡</w:t>
      </w:r>
      <w:r w:rsidRPr="004C2990">
        <w:rPr>
          <w:lang w:eastAsia="zh-TW"/>
        </w:rPr>
        <w:t>396-397</w:t>
      </w:r>
      <w:r w:rsidRPr="004C2990">
        <w:rPr>
          <w:rFonts w:hint="eastAsia"/>
          <w:lang w:eastAsia="zh-TW"/>
        </w:rPr>
        <w:t>，縣道官所治死罪及過失、戲殺案件，經二千石官</w:t>
      </w:r>
      <w:r>
        <w:rPr>
          <w:rFonts w:hint="eastAsia"/>
          <w:lang w:eastAsia="zh-TW"/>
        </w:rPr>
        <w:t>復</w:t>
      </w:r>
      <w:r w:rsidRPr="004C2990">
        <w:rPr>
          <w:rFonts w:hint="eastAsia"/>
          <w:lang w:eastAsia="zh-TW"/>
        </w:rPr>
        <w:t>案後，‘當論，乃告縣道官以從事’。據上引胡家草場簡，謀反案件審結，由二千石官‘移廷’，即報送中央政府的司法部門‘廷尉’，‘廷以聞，有報，乃以從事’。”</w:t>
      </w:r>
    </w:p>
    <w:p w14:paraId="0D77BDF5" w14:textId="7B1D0229" w:rsidR="00393C80" w:rsidRPr="00393C80" w:rsidRDefault="004C2990" w:rsidP="004C2990">
      <w:pPr>
        <w:pStyle w:val="ab"/>
        <w:ind w:firstLine="560"/>
      </w:pPr>
      <w:r w:rsidRPr="004C2990">
        <w:rPr>
          <w:rFonts w:hint="eastAsia"/>
          <w:lang w:eastAsia="zh-TW"/>
        </w:rPr>
        <w:t>按《二年律令》簡</w:t>
      </w:r>
      <w:r w:rsidRPr="004C2990">
        <w:rPr>
          <w:lang w:eastAsia="zh-TW"/>
        </w:rPr>
        <w:t>396-397</w:t>
      </w:r>
      <w:r w:rsidR="00CC51D6">
        <w:rPr>
          <w:rFonts w:hint="eastAsia"/>
          <w:lang w:eastAsia="zh-TW"/>
        </w:rPr>
        <w:t>云</w:t>
      </w:r>
      <w:r w:rsidRPr="004C2990">
        <w:rPr>
          <w:rFonts w:hint="eastAsia"/>
          <w:lang w:eastAsia="zh-TW"/>
        </w:rPr>
        <w:t>：“縣道官所治死罪及過失、戲而殺人，獄已具，勿庸論，上獄屬所二千石官。二千石官令毋（無）害都吏</w:t>
      </w:r>
      <w:r w:rsidR="00CC51D6" w:rsidRPr="00CC51D6">
        <w:rPr>
          <w:rFonts w:hint="eastAsia"/>
          <w:lang w:eastAsia="zh-TW"/>
        </w:rPr>
        <w:t>復</w:t>
      </w:r>
      <w:r w:rsidRPr="004C2990">
        <w:rPr>
          <w:rFonts w:hint="eastAsia"/>
          <w:lang w:eastAsia="zh-TW"/>
        </w:rPr>
        <w:t>案，問（聞）二千石官丞謹掾，當論，乃告縣道官以從事。”原整理者歸入《興律》，其注又謂或當入《具律》。張家山漢簡研讀班認爲：《晋書·刑法志》述魏定《新律》前的法律體系時</w:t>
      </w:r>
      <w:r w:rsidR="00CC51D6">
        <w:rPr>
          <w:rFonts w:hint="eastAsia"/>
          <w:lang w:eastAsia="zh-TW"/>
        </w:rPr>
        <w:t>云</w:t>
      </w:r>
      <w:r w:rsidRPr="004C2990">
        <w:rPr>
          <w:rFonts w:hint="eastAsia"/>
          <w:lang w:eastAsia="zh-TW"/>
        </w:rPr>
        <w:t>“是時承用秦漢舊律……《興律》有上獄之文”，可與該律互證，故不當入《具律》。</w:t>
      </w:r>
      <w:r w:rsidR="00393C80" w:rsidRPr="00393C80">
        <w:rPr>
          <w:vertAlign w:val="superscript"/>
        </w:rPr>
        <w:endnoteReference w:id="13"/>
      </w:r>
      <w:r w:rsidRPr="004C2990">
        <w:rPr>
          <w:rFonts w:hint="eastAsia"/>
          <w:lang w:eastAsia="zh-TW"/>
        </w:rPr>
        <w:t>此兩簡性質即爲上獄之相關規定，當從《晋書·刑法志》之說歸入《興律》。胡家草場《賊律》“謀反者獄具，二千石官案掾移廷，廷以聞，有報，乃以從事”一段，與《二年律令》簡</w:t>
      </w:r>
      <w:r w:rsidRPr="004C2990">
        <w:rPr>
          <w:lang w:eastAsia="zh-TW"/>
        </w:rPr>
        <w:t>396-397</w:t>
      </w:r>
      <w:r w:rsidRPr="004C2990">
        <w:rPr>
          <w:rFonts w:hint="eastAsia"/>
          <w:lang w:eastAsia="zh-TW"/>
        </w:rPr>
        <w:t>文字、性質皆類似。與《二年律令·興律》相比較，我們認爲此段新增律文存在兩種可能：一、此段律文僅見于《賊律》謀反罪律條。二、此段律文《興律》、《賊律》謀反罪律條俱見。上已指出，相關或類似律文重見于不同律文的情况，秦漢律令幷不少見。胡家草場漢律規定謀反案件審結，須由屬所二千石官報送廷尉，由廷尉論處，幷且將之特別</w:t>
      </w:r>
      <w:r w:rsidRPr="004C2990">
        <w:rPr>
          <w:rFonts w:hint="eastAsia"/>
          <w:lang w:eastAsia="zh-TW"/>
        </w:rPr>
        <w:lastRenderedPageBreak/>
        <w:t>寫入新修《賊律》謀反罪律條中，這一處理方式既極爲重視又頗爲審慎。那麽這樣一段文字爲何要新增入《賊律》謀反罪律條呢？</w:t>
      </w:r>
    </w:p>
    <w:p w14:paraId="45BF1FC5" w14:textId="63EF79D3" w:rsidR="00393C80" w:rsidRPr="00393C80" w:rsidRDefault="004C2990" w:rsidP="004C2990">
      <w:pPr>
        <w:pStyle w:val="ab"/>
        <w:ind w:firstLine="560"/>
      </w:pPr>
      <w:r w:rsidRPr="004C2990">
        <w:rPr>
          <w:rFonts w:hint="eastAsia"/>
          <w:lang w:eastAsia="zh-TW"/>
        </w:rPr>
        <w:t>其實，類似說法在西漢詔令或律令中幷不罕見。《漢書·宣帝紀》四年詔曰：“</w:t>
      </w:r>
      <w:r w:rsidRPr="004C2990">
        <w:rPr>
          <w:rFonts w:hAnsi="Calibri" w:cs="宋体" w:hint="eastAsia"/>
          <w:color w:val="000000"/>
          <w:kern w:val="0"/>
          <w:lang w:eastAsia="zh-TW"/>
        </w:rPr>
        <w:t>父子之親，夫婦之道，天性也。雖有患禍，猶蒙死而存之。誠愛結于心，仁厚之至也，豈能違之哉！自今子首匿父母，妻匿夫，孫匿大父母，皆勿坐。其父母匿子，夫匿妻，大父母匿孫，罪殊死，皆上請廷尉以聞。</w:t>
      </w:r>
      <w:r w:rsidRPr="004C2990">
        <w:rPr>
          <w:rFonts w:hint="eastAsia"/>
          <w:lang w:eastAsia="zh-TW"/>
        </w:rPr>
        <w:t>”即家庭成員犯罪，其親屬可以“親親得相首匿”，法律允許免于或减輕追究其刑事責任。對于這一現象，彭年先生認爲這一原則直接源自先秦時期儒家的“親親相容隱”的法律思想。其謂：“表面看來，‘親親相容隱’的法律原則，同收孥、族誅之法一弛一張，迥然不同：前者溫情脉脉，而後者殺氣騰騰。然而細加推敲，觀其實質，則二者不無相通之處：‘親親得相首匿’是通過父子之情，夫婦之道，來鞏固君臣之義，以消除臣民犯上作亂之禍生，即《晋書·刑法志》所謂‘相隱之道離，則君臣之義廢；君臣之義廢，則犯上之奸生矣’。這又叫做‘以仁孝治天下’。”</w:t>
      </w:r>
      <w:r w:rsidR="00393C80" w:rsidRPr="00393C80">
        <w:rPr>
          <w:vertAlign w:val="superscript"/>
        </w:rPr>
        <w:endnoteReference w:id="14"/>
      </w:r>
      <w:r w:rsidRPr="004C2990">
        <w:rPr>
          <w:rFonts w:hint="eastAsia"/>
          <w:lang w:eastAsia="zh-TW"/>
        </w:rPr>
        <w:t>其說頗有道理。以宣帝四年詔相參，文帝時期對《賊律》謀反罪律條進行修訂（此亦可能是以詔入律），</w:t>
      </w:r>
      <w:r w:rsidR="00393C80" w:rsidRPr="00393C80">
        <w:rPr>
          <w:vertAlign w:val="superscript"/>
        </w:rPr>
        <w:endnoteReference w:id="15"/>
      </w:r>
      <w:r w:rsidRPr="004C2990">
        <w:rPr>
          <w:rFonts w:hint="eastAsia"/>
          <w:lang w:eastAsia="zh-TW"/>
        </w:rPr>
        <w:t>在</w:t>
      </w:r>
      <w:r w:rsidR="00F32502" w:rsidRPr="00F32502">
        <w:rPr>
          <w:rFonts w:hint="eastAsia"/>
          <w:lang w:eastAsia="zh-TW"/>
        </w:rPr>
        <w:t>復</w:t>
      </w:r>
      <w:r w:rsidRPr="004C2990">
        <w:rPr>
          <w:rFonts w:hint="eastAsia"/>
          <w:lang w:eastAsia="zh-TW"/>
        </w:rPr>
        <w:t>收孥相坐律的同時亦允許免于或减輕追究其刑事責任，可謂寬猛相濟、一張一弛，體現出文帝的良苦用心。濟北</w:t>
      </w:r>
      <w:r w:rsidRPr="004C2990">
        <w:rPr>
          <w:rFonts w:hint="eastAsia"/>
          <w:lang w:eastAsia="zh-TW"/>
        </w:rPr>
        <w:lastRenderedPageBreak/>
        <w:t>王劉興居、淮南王劉長謀反案，文帝皆采取了寬大處理的措施，此時修訂法律對此類謀逆行爲可謂既嚴加防範，又保留有寬恕的餘地，這正體現了儒家“親親相容隱”的法律思想。</w:t>
      </w:r>
    </w:p>
    <w:p w14:paraId="50329225" w14:textId="155DF0A6" w:rsidR="00393C80" w:rsidRPr="00393C80" w:rsidRDefault="004C2990" w:rsidP="004C2990">
      <w:pPr>
        <w:pStyle w:val="ab"/>
        <w:ind w:firstLine="560"/>
      </w:pPr>
      <w:r w:rsidRPr="004C2990">
        <w:rPr>
          <w:rFonts w:hint="eastAsia"/>
          <w:lang w:eastAsia="zh-TW"/>
        </w:rPr>
        <w:t>《史記》、《漢書》但謂文帝二年“除收律相坐法”，而不載其後又</w:t>
      </w:r>
      <w:r w:rsidR="00F32502" w:rsidRPr="00F32502">
        <w:rPr>
          <w:rFonts w:hint="eastAsia"/>
          <w:lang w:eastAsia="zh-TW"/>
        </w:rPr>
        <w:t>復</w:t>
      </w:r>
      <w:r w:rsidRPr="004C2990">
        <w:rPr>
          <w:rFonts w:hint="eastAsia"/>
          <w:lang w:eastAsia="zh-TW"/>
        </w:rPr>
        <w:t>之，似有爲維護文帝“寬刑仁孝”之形象而刻意曲護之嫌。今據胡家草場《賊律》乃得以窺見當時歷史之真相，出土文獻之重要性由此可見一斑。</w:t>
      </w:r>
    </w:p>
    <w:p w14:paraId="3F1D7D84" w14:textId="77777777" w:rsidR="00393C80" w:rsidRPr="00393C80" w:rsidRDefault="00393C80" w:rsidP="00393C80">
      <w:pPr>
        <w:widowControl/>
        <w:snapToGrid w:val="0"/>
        <w:spacing w:line="300" w:lineRule="auto"/>
        <w:ind w:firstLineChars="200" w:firstLine="420"/>
        <w:jc w:val="left"/>
        <w:rPr>
          <w:sz w:val="21"/>
          <w:szCs w:val="21"/>
        </w:rPr>
      </w:pPr>
    </w:p>
    <w:p w14:paraId="69651641" w14:textId="77777777" w:rsidR="00393C80" w:rsidRPr="00393C80" w:rsidRDefault="00393C80" w:rsidP="00393C80">
      <w:pPr>
        <w:widowControl/>
        <w:snapToGrid w:val="0"/>
        <w:spacing w:line="300" w:lineRule="auto"/>
        <w:ind w:firstLineChars="200" w:firstLine="420"/>
        <w:jc w:val="left"/>
        <w:rPr>
          <w:sz w:val="21"/>
          <w:szCs w:val="21"/>
        </w:rPr>
      </w:pPr>
    </w:p>
    <w:p w14:paraId="6613ABA1" w14:textId="16E75E2C" w:rsidR="00393C80" w:rsidRPr="00F32502" w:rsidRDefault="00F32502" w:rsidP="00F32502">
      <w:pPr>
        <w:pStyle w:val="aa"/>
      </w:pPr>
      <w:r w:rsidRPr="00F32502">
        <w:rPr>
          <w:rFonts w:hint="eastAsia"/>
          <w:lang w:eastAsia="zh-TW"/>
        </w:rPr>
        <w:t>附記：本文待刊于《出土文獻與法律史研究》第</w:t>
      </w:r>
      <w:r w:rsidRPr="00F32502">
        <w:rPr>
          <w:lang w:eastAsia="zh-TW"/>
        </w:rPr>
        <w:t>11</w:t>
      </w:r>
      <w:r w:rsidRPr="00F32502">
        <w:rPr>
          <w:rFonts w:hint="eastAsia"/>
          <w:lang w:eastAsia="zh-TW"/>
        </w:rPr>
        <w:t>輯。</w:t>
      </w:r>
    </w:p>
    <w:p w14:paraId="75C2D18A" w14:textId="595D7E7F" w:rsidR="00BE12D1" w:rsidRPr="00393C80" w:rsidRDefault="00BE12D1" w:rsidP="00BE12D1">
      <w:pPr>
        <w:pStyle w:val="ab"/>
        <w:ind w:firstLine="560"/>
      </w:pPr>
    </w:p>
    <w:sectPr w:rsidR="00BE12D1" w:rsidRPr="00393C80">
      <w:headerReference w:type="default" r:id="rId12"/>
      <w:footerReference w:type="even" r:id="rId13"/>
      <w:footerReference w:type="default" r:id="rId1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B389" w14:textId="77777777" w:rsidR="005547BF" w:rsidRDefault="005547BF" w:rsidP="00CB0024">
      <w:r>
        <w:separator/>
      </w:r>
    </w:p>
  </w:endnote>
  <w:endnote w:type="continuationSeparator" w:id="0">
    <w:p w14:paraId="5E963FB8" w14:textId="77777777" w:rsidR="005547BF" w:rsidRDefault="005547BF" w:rsidP="00CB0024">
      <w:r>
        <w:continuationSeparator/>
      </w:r>
    </w:p>
  </w:endnote>
  <w:endnote w:id="1">
    <w:p w14:paraId="7E53DDB3" w14:textId="45D3DB72"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李志芳、蔣魯敬：《湖北荊州市胡家草場西漢墓</w:t>
      </w:r>
      <w:r w:rsidR="00F32502" w:rsidRPr="00F32502">
        <w:t>M12</w:t>
      </w:r>
      <w:r w:rsidR="00F32502" w:rsidRPr="00F32502">
        <w:rPr>
          <w:rFonts w:hint="eastAsia"/>
        </w:rPr>
        <w:t>出土簡牘概述》，《考古》</w:t>
      </w:r>
      <w:r w:rsidR="00F32502" w:rsidRPr="00F32502">
        <w:t>2020</w:t>
      </w:r>
      <w:r w:rsidR="00F32502" w:rsidRPr="00F32502">
        <w:rPr>
          <w:rFonts w:hint="eastAsia"/>
        </w:rPr>
        <w:t>年第</w:t>
      </w:r>
      <w:r w:rsidR="00F32502" w:rsidRPr="00F32502">
        <w:t>2</w:t>
      </w:r>
      <w:r w:rsidR="00F32502" w:rsidRPr="00F32502">
        <w:rPr>
          <w:rFonts w:hint="eastAsia"/>
        </w:rPr>
        <w:t>期第</w:t>
      </w:r>
      <w:r w:rsidR="00F32502" w:rsidRPr="00F32502">
        <w:t>22</w:t>
      </w:r>
      <w:r w:rsidR="00F32502" w:rsidRPr="00F32502">
        <w:rPr>
          <w:rFonts w:hint="eastAsia"/>
        </w:rPr>
        <w:t>頁；陳</w:t>
      </w:r>
      <w:proofErr w:type="gramStart"/>
      <w:r w:rsidR="00F32502" w:rsidRPr="00F32502">
        <w:rPr>
          <w:rFonts w:hint="eastAsia"/>
        </w:rPr>
        <w:t>偉</w:t>
      </w:r>
      <w:proofErr w:type="gramEnd"/>
      <w:r w:rsidR="00F32502" w:rsidRPr="00F32502">
        <w:rPr>
          <w:rFonts w:hint="eastAsia"/>
        </w:rPr>
        <w:t>：《秦漢簡牘所見的律典體系》，《中國社會科學》</w:t>
      </w:r>
      <w:r w:rsidR="00F32502" w:rsidRPr="00F32502">
        <w:t>2021</w:t>
      </w:r>
      <w:r w:rsidR="00F32502" w:rsidRPr="00F32502">
        <w:rPr>
          <w:rFonts w:hint="eastAsia"/>
        </w:rPr>
        <w:t>年第</w:t>
      </w:r>
      <w:r w:rsidR="00F32502" w:rsidRPr="00F32502">
        <w:t>1</w:t>
      </w:r>
      <w:r w:rsidR="00F32502" w:rsidRPr="00F32502">
        <w:rPr>
          <w:rFonts w:hint="eastAsia"/>
        </w:rPr>
        <w:t>期第</w:t>
      </w:r>
      <w:r w:rsidR="00F32502" w:rsidRPr="00F32502">
        <w:t>105</w:t>
      </w:r>
      <w:r w:rsidR="00F32502" w:rsidRPr="00F32502">
        <w:rPr>
          <w:rFonts w:hint="eastAsia"/>
        </w:rPr>
        <w:t>頁。</w:t>
      </w:r>
    </w:p>
  </w:endnote>
  <w:endnote w:id="2">
    <w:p w14:paraId="726D0E4A" w14:textId="52F4F45A"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此處句讀</w:t>
      </w:r>
      <w:proofErr w:type="gramStart"/>
      <w:r w:rsidR="00F32502" w:rsidRPr="00F32502">
        <w:rPr>
          <w:rFonts w:hint="eastAsia"/>
        </w:rPr>
        <w:t>參</w:t>
      </w:r>
      <w:proofErr w:type="gramEnd"/>
      <w:r w:rsidR="00F32502" w:rsidRPr="00F32502">
        <w:rPr>
          <w:rFonts w:hint="eastAsia"/>
        </w:rPr>
        <w:t>周波：《張家山漢簡〈二年律令〉校讀》，《出土文獻與法律史研究》第</w:t>
      </w:r>
      <w:r w:rsidR="00F32502" w:rsidRPr="00F32502">
        <w:t>9</w:t>
      </w:r>
      <w:r w:rsidR="00F32502" w:rsidRPr="00F32502">
        <w:rPr>
          <w:rFonts w:hint="eastAsia"/>
        </w:rPr>
        <w:t>輯第</w:t>
      </w:r>
      <w:r w:rsidR="00F32502" w:rsidRPr="00F32502">
        <w:t>280-286</w:t>
      </w:r>
      <w:r w:rsidR="00F32502" w:rsidRPr="00F32502">
        <w:rPr>
          <w:rFonts w:hint="eastAsia"/>
        </w:rPr>
        <w:t>頁，法律出版社，</w:t>
      </w:r>
      <w:r w:rsidR="00F32502" w:rsidRPr="00F32502">
        <w:t>2020</w:t>
      </w:r>
      <w:r w:rsidR="00F32502" w:rsidRPr="00F32502">
        <w:rPr>
          <w:rFonts w:hint="eastAsia"/>
        </w:rPr>
        <w:t>年。</w:t>
      </w:r>
    </w:p>
  </w:endnote>
  <w:endnote w:id="3">
    <w:p w14:paraId="5CCA2D3C" w14:textId="5A174FDD"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何有祖、李志芳：《張家山漢簡〈二年律令〉新編（</w:t>
      </w:r>
      <w:r w:rsidR="00F32502" w:rsidRPr="00F32502">
        <w:rPr>
          <w:rFonts w:hint="eastAsia"/>
        </w:rPr>
        <w:t>二則）》，《江漢考古》</w:t>
      </w:r>
      <w:r w:rsidR="00F32502" w:rsidRPr="00F32502">
        <w:t>2020</w:t>
      </w:r>
      <w:r w:rsidR="00F32502" w:rsidRPr="00F32502">
        <w:rPr>
          <w:rFonts w:hint="eastAsia"/>
        </w:rPr>
        <w:t>年第</w:t>
      </w:r>
      <w:r w:rsidR="00F32502" w:rsidRPr="00F32502">
        <w:t>3</w:t>
      </w:r>
      <w:r w:rsidR="00F32502" w:rsidRPr="00F32502">
        <w:rPr>
          <w:rFonts w:hint="eastAsia"/>
        </w:rPr>
        <w:t>期第</w:t>
      </w:r>
      <w:r w:rsidR="00F32502" w:rsidRPr="00F32502">
        <w:t>122</w:t>
      </w:r>
      <w:r w:rsidR="00F32502" w:rsidRPr="00F32502">
        <w:rPr>
          <w:rFonts w:hint="eastAsia"/>
        </w:rPr>
        <w:t>頁。</w:t>
      </w:r>
    </w:p>
  </w:endnote>
  <w:endnote w:id="4">
    <w:p w14:paraId="5336367B" w14:textId="74C14CFB"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何有祖、</w:t>
      </w:r>
      <w:proofErr w:type="gramStart"/>
      <w:r w:rsidR="00F32502" w:rsidRPr="00F32502">
        <w:rPr>
          <w:rFonts w:hint="eastAsia"/>
        </w:rPr>
        <w:t>劉</w:t>
      </w:r>
      <w:proofErr w:type="gramEnd"/>
      <w:r w:rsidR="00F32502" w:rsidRPr="00F32502">
        <w:rPr>
          <w:rFonts w:hint="eastAsia"/>
        </w:rPr>
        <w:t>盼、蔣魯敬：《張家山漢簡〈二年律令·賜律〉簡序新探——以胡家草場漢簡爲綫索》，《文物》</w:t>
      </w:r>
      <w:r w:rsidR="00F32502" w:rsidRPr="00F32502">
        <w:t>2020</w:t>
      </w:r>
      <w:r w:rsidR="00F32502" w:rsidRPr="00F32502">
        <w:rPr>
          <w:rFonts w:hint="eastAsia"/>
        </w:rPr>
        <w:t>年第</w:t>
      </w:r>
      <w:r w:rsidR="00F32502" w:rsidRPr="00F32502">
        <w:t>8</w:t>
      </w:r>
      <w:r w:rsidR="00F32502" w:rsidRPr="00F32502">
        <w:rPr>
          <w:rFonts w:hint="eastAsia"/>
        </w:rPr>
        <w:t>期第</w:t>
      </w:r>
      <w:r w:rsidR="00F32502" w:rsidRPr="00F32502">
        <w:t>60-62</w:t>
      </w:r>
      <w:r w:rsidR="00F32502" w:rsidRPr="00F32502">
        <w:rPr>
          <w:rFonts w:hint="eastAsia"/>
        </w:rPr>
        <w:t>頁。下引何有祖等說均出此文。</w:t>
      </w:r>
    </w:p>
  </w:endnote>
  <w:endnote w:id="5">
    <w:p w14:paraId="61D4E4CC" w14:textId="6520B804"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彭浩：《讀胡家草場漢簡札記兩則》，簡帛網，</w:t>
      </w:r>
      <w:r w:rsidR="00F32502" w:rsidRPr="00F32502">
        <w:t>2021</w:t>
      </w:r>
      <w:r w:rsidR="00F32502" w:rsidRPr="00F32502">
        <w:rPr>
          <w:rFonts w:hint="eastAsia"/>
        </w:rPr>
        <w:t>年</w:t>
      </w:r>
      <w:r w:rsidR="00F32502" w:rsidRPr="00F32502">
        <w:t>10</w:t>
      </w:r>
      <w:r w:rsidR="00F32502" w:rsidRPr="00F32502">
        <w:rPr>
          <w:rFonts w:hint="eastAsia"/>
        </w:rPr>
        <w:t>月</w:t>
      </w:r>
      <w:r w:rsidR="00F32502" w:rsidRPr="00F32502">
        <w:t>17</w:t>
      </w:r>
      <w:r w:rsidR="00F32502" w:rsidRPr="00F32502">
        <w:rPr>
          <w:rFonts w:hint="eastAsia"/>
        </w:rPr>
        <w:t>日。</w:t>
      </w:r>
    </w:p>
  </w:endnote>
  <w:endnote w:id="6">
    <w:p w14:paraId="3F5A5754" w14:textId="0EB1ADF9" w:rsidR="00393C80" w:rsidRPr="00F32502" w:rsidRDefault="00393C80" w:rsidP="00F32502">
      <w:pPr>
        <w:pStyle w:val="ae"/>
      </w:pPr>
      <w:r w:rsidRPr="00F32502">
        <w:rPr>
          <w:rStyle w:val="af"/>
          <w:vertAlign w:val="baseline"/>
        </w:rPr>
        <w:endnoteRef/>
      </w:r>
      <w:r w:rsidR="00F32502" w:rsidRPr="00F32502">
        <w:t xml:space="preserve"> </w:t>
      </w:r>
      <w:proofErr w:type="gramStart"/>
      <w:r w:rsidR="00F32502" w:rsidRPr="00F32502">
        <w:rPr>
          <w:rFonts w:hint="eastAsia"/>
        </w:rPr>
        <w:t>參</w:t>
      </w:r>
      <w:proofErr w:type="gramEnd"/>
      <w:r w:rsidR="00F32502" w:rsidRPr="00F32502">
        <w:rPr>
          <w:rFonts w:hint="eastAsia"/>
        </w:rPr>
        <w:t>拙文：《胡家草場漢簡〈朝律〉所見“中二千石”及其相關問題》，《出土文獻與古文字研究》第</w:t>
      </w:r>
      <w:r w:rsidR="00F32502" w:rsidRPr="00F32502">
        <w:t>10</w:t>
      </w:r>
      <w:r w:rsidR="00F32502" w:rsidRPr="00F32502">
        <w:rPr>
          <w:rFonts w:hint="eastAsia"/>
        </w:rPr>
        <w:t>輯待刊。</w:t>
      </w:r>
    </w:p>
  </w:endnote>
  <w:endnote w:id="7">
    <w:p w14:paraId="07D4F69A" w14:textId="27A41E54"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游逸飛：《如何“閱讀”秦漢隨葬法律？——以張家山漢簡〈二年律令〉爲例》，簡帛網，</w:t>
      </w:r>
      <w:r w:rsidR="00F32502" w:rsidRPr="00F32502">
        <w:t>2016</w:t>
      </w:r>
      <w:r w:rsidR="00F32502" w:rsidRPr="00F32502">
        <w:rPr>
          <w:rFonts w:hint="eastAsia"/>
        </w:rPr>
        <w:t>年</w:t>
      </w:r>
      <w:r w:rsidR="00F32502" w:rsidRPr="00F32502">
        <w:t>5</w:t>
      </w:r>
      <w:r w:rsidR="00F32502" w:rsidRPr="00F32502">
        <w:rPr>
          <w:rFonts w:hint="eastAsia"/>
        </w:rPr>
        <w:t>月</w:t>
      </w:r>
      <w:r w:rsidR="00F32502" w:rsidRPr="00F32502">
        <w:t>4</w:t>
      </w:r>
      <w:r w:rsidR="00F32502" w:rsidRPr="00F32502">
        <w:rPr>
          <w:rFonts w:hint="eastAsia"/>
        </w:rPr>
        <w:t>日。</w:t>
      </w:r>
    </w:p>
  </w:endnote>
  <w:endnote w:id="8">
    <w:p w14:paraId="1005378F" w14:textId="3FD20A08"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陳</w:t>
      </w:r>
      <w:proofErr w:type="gramStart"/>
      <w:r w:rsidR="00F32502" w:rsidRPr="00F32502">
        <w:rPr>
          <w:rFonts w:hint="eastAsia"/>
        </w:rPr>
        <w:t>偉</w:t>
      </w:r>
      <w:proofErr w:type="gramEnd"/>
      <w:r w:rsidR="00F32502" w:rsidRPr="00F32502">
        <w:rPr>
          <w:rFonts w:hint="eastAsia"/>
        </w:rPr>
        <w:t>：《秦與漢初“入錢缿中”律的幾個問題》，收入其主編《秦簡牘整理與研究》第</w:t>
      </w:r>
      <w:r w:rsidR="00F32502" w:rsidRPr="00F32502">
        <w:t>82</w:t>
      </w:r>
      <w:r w:rsidR="00F32502" w:rsidRPr="00F32502">
        <w:rPr>
          <w:rFonts w:hint="eastAsia"/>
        </w:rPr>
        <w:t>頁，經</w:t>
      </w:r>
      <w:proofErr w:type="gramStart"/>
      <w:r w:rsidR="00F32502" w:rsidRPr="00F32502">
        <w:rPr>
          <w:rFonts w:hint="eastAsia"/>
        </w:rPr>
        <w:t>濟</w:t>
      </w:r>
      <w:proofErr w:type="gramEnd"/>
      <w:r w:rsidR="00F32502" w:rsidRPr="00F32502">
        <w:rPr>
          <w:rFonts w:hint="eastAsia"/>
        </w:rPr>
        <w:t>科學出版社，</w:t>
      </w:r>
      <w:r w:rsidR="00F32502" w:rsidRPr="00F32502">
        <w:t>2017</w:t>
      </w:r>
      <w:r w:rsidR="00F32502" w:rsidRPr="00F32502">
        <w:rPr>
          <w:rFonts w:hint="eastAsia"/>
        </w:rPr>
        <w:t>年。</w:t>
      </w:r>
    </w:p>
  </w:endnote>
  <w:endnote w:id="9">
    <w:p w14:paraId="3331129C" w14:textId="3DE17B79"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彭浩：《讀胡家草場漢簡札記兩則》，簡帛網，</w:t>
      </w:r>
      <w:r w:rsidR="00F32502" w:rsidRPr="00F32502">
        <w:t>2021</w:t>
      </w:r>
      <w:r w:rsidR="00F32502" w:rsidRPr="00F32502">
        <w:rPr>
          <w:rFonts w:hint="eastAsia"/>
        </w:rPr>
        <w:t>年</w:t>
      </w:r>
      <w:r w:rsidR="00F32502" w:rsidRPr="00F32502">
        <w:t>11</w:t>
      </w:r>
      <w:r w:rsidR="00F32502" w:rsidRPr="00F32502">
        <w:rPr>
          <w:rFonts w:hint="eastAsia"/>
        </w:rPr>
        <w:t>月</w:t>
      </w:r>
      <w:r w:rsidR="00F32502" w:rsidRPr="00F32502">
        <w:t>17</w:t>
      </w:r>
      <w:r w:rsidR="00F32502" w:rsidRPr="00F32502">
        <w:rPr>
          <w:rFonts w:hint="eastAsia"/>
        </w:rPr>
        <w:t>日。</w:t>
      </w:r>
    </w:p>
  </w:endnote>
  <w:endnote w:id="10">
    <w:p w14:paraId="7CA3C435" w14:textId="06F4BCA1"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曹旅寧：《胡家草場漢簡〈賊律〉“以城邑亭障反”條應是文帝以後漢律》，簡帛網，</w:t>
      </w:r>
      <w:r w:rsidR="00F32502" w:rsidRPr="00F32502">
        <w:t>2021</w:t>
      </w:r>
      <w:r w:rsidR="00F32502" w:rsidRPr="00F32502">
        <w:rPr>
          <w:rFonts w:hint="eastAsia"/>
        </w:rPr>
        <w:t>年</w:t>
      </w:r>
      <w:r w:rsidR="00F32502" w:rsidRPr="00F32502">
        <w:t>10</w:t>
      </w:r>
      <w:r w:rsidR="00F32502" w:rsidRPr="00F32502">
        <w:rPr>
          <w:rFonts w:hint="eastAsia"/>
        </w:rPr>
        <w:t>月</w:t>
      </w:r>
      <w:r w:rsidR="00F32502" w:rsidRPr="00F32502">
        <w:t>27</w:t>
      </w:r>
      <w:r w:rsidR="00F32502" w:rsidRPr="00F32502">
        <w:rPr>
          <w:rFonts w:hint="eastAsia"/>
        </w:rPr>
        <w:t>日。</w:t>
      </w:r>
    </w:p>
  </w:endnote>
  <w:endnote w:id="11">
    <w:p w14:paraId="31AB27C8" w14:textId="2120637A" w:rsidR="00393C80" w:rsidRPr="00F32502" w:rsidRDefault="00393C80" w:rsidP="00F32502">
      <w:pPr>
        <w:pStyle w:val="ae"/>
      </w:pPr>
      <w:r w:rsidRPr="00F32502">
        <w:rPr>
          <w:rStyle w:val="af"/>
          <w:vertAlign w:val="baseline"/>
        </w:rPr>
        <w:endnoteRef/>
      </w:r>
      <w:r w:rsidR="00F32502" w:rsidRPr="00F32502">
        <w:t xml:space="preserve"> </w:t>
      </w:r>
      <w:proofErr w:type="gramStart"/>
      <w:r w:rsidR="00F32502" w:rsidRPr="00F32502">
        <w:rPr>
          <w:rFonts w:hint="eastAsia"/>
        </w:rPr>
        <w:t>參</w:t>
      </w:r>
      <w:proofErr w:type="gramEnd"/>
      <w:r w:rsidR="00F32502" w:rsidRPr="00F32502">
        <w:rPr>
          <w:rFonts w:hint="eastAsia"/>
        </w:rPr>
        <w:t>拙文：《胡家草場西漢簡牘研讀》，</w:t>
      </w:r>
      <w:proofErr w:type="gramStart"/>
      <w:r w:rsidR="00F32502" w:rsidRPr="00F32502">
        <w:rPr>
          <w:rFonts w:hint="eastAsia"/>
        </w:rPr>
        <w:t>復旦</w:t>
      </w:r>
      <w:proofErr w:type="gramEnd"/>
      <w:r w:rsidR="00F32502" w:rsidRPr="00F32502">
        <w:rPr>
          <w:rFonts w:hint="eastAsia"/>
        </w:rPr>
        <w:t>大學出土文獻與古文字研究中心網，</w:t>
      </w:r>
      <w:r w:rsidR="00F32502" w:rsidRPr="00F32502">
        <w:t>2021</w:t>
      </w:r>
      <w:r w:rsidR="00F32502" w:rsidRPr="00F32502">
        <w:rPr>
          <w:rFonts w:hint="eastAsia"/>
        </w:rPr>
        <w:t>年</w:t>
      </w:r>
      <w:r w:rsidR="00F32502" w:rsidRPr="00F32502">
        <w:t>10</w:t>
      </w:r>
      <w:r w:rsidR="00F32502" w:rsidRPr="00F32502">
        <w:rPr>
          <w:rFonts w:hint="eastAsia"/>
        </w:rPr>
        <w:t>月</w:t>
      </w:r>
      <w:r w:rsidR="00F32502" w:rsidRPr="00F32502">
        <w:t>21</w:t>
      </w:r>
      <w:r w:rsidR="00F32502" w:rsidRPr="00F32502">
        <w:rPr>
          <w:rFonts w:hint="eastAsia"/>
        </w:rPr>
        <w:t>日。</w:t>
      </w:r>
    </w:p>
  </w:endnote>
  <w:endnote w:id="12">
    <w:p w14:paraId="0E21E752" w14:textId="4E9D52CF"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彭年：《秦漢族刑、收孥、相坐諸法及其施行之探討》，四川師大歷史系編《秦漢史論叢》第</w:t>
      </w:r>
      <w:r w:rsidR="00F32502" w:rsidRPr="00F32502">
        <w:t>158-159</w:t>
      </w:r>
      <w:r w:rsidR="00F32502" w:rsidRPr="00F32502">
        <w:rPr>
          <w:rFonts w:hint="eastAsia"/>
        </w:rPr>
        <w:t>頁，巴蜀</w:t>
      </w:r>
      <w:proofErr w:type="gramStart"/>
      <w:r w:rsidR="00F32502" w:rsidRPr="00F32502">
        <w:rPr>
          <w:rFonts w:hint="eastAsia"/>
        </w:rPr>
        <w:t>書</w:t>
      </w:r>
      <w:proofErr w:type="gramEnd"/>
      <w:r w:rsidR="00F32502" w:rsidRPr="00F32502">
        <w:rPr>
          <w:rFonts w:hint="eastAsia"/>
        </w:rPr>
        <w:t>社，</w:t>
      </w:r>
      <w:r w:rsidR="00F32502" w:rsidRPr="00F32502">
        <w:t>1986</w:t>
      </w:r>
      <w:r w:rsidR="00F32502" w:rsidRPr="00F32502">
        <w:rPr>
          <w:rFonts w:hint="eastAsia"/>
        </w:rPr>
        <w:t>年。</w:t>
      </w:r>
    </w:p>
  </w:endnote>
  <w:endnote w:id="13">
    <w:p w14:paraId="45B3E917" w14:textId="50DD82E8"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張家山漢簡</w:t>
      </w:r>
      <w:proofErr w:type="gramStart"/>
      <w:r w:rsidR="00F32502" w:rsidRPr="00F32502">
        <w:rPr>
          <w:rFonts w:hint="eastAsia"/>
        </w:rPr>
        <w:t>研</w:t>
      </w:r>
      <w:proofErr w:type="gramEnd"/>
      <w:r w:rsidR="00F32502" w:rsidRPr="00F32502">
        <w:rPr>
          <w:rFonts w:hint="eastAsia"/>
        </w:rPr>
        <w:t>讀班：《張家山漢簡〈二年律令〉校讀記》，《簡帛研究（</w:t>
      </w:r>
      <w:r w:rsidR="00F32502" w:rsidRPr="00F32502">
        <w:t>2002</w:t>
      </w:r>
      <w:r w:rsidR="00F32502" w:rsidRPr="00F32502">
        <w:rPr>
          <w:rFonts w:hint="eastAsia"/>
        </w:rPr>
        <w:t>—</w:t>
      </w:r>
      <w:r w:rsidR="00F32502" w:rsidRPr="00F32502">
        <w:t>2003</w:t>
      </w:r>
      <w:r w:rsidR="00F32502" w:rsidRPr="00F32502">
        <w:rPr>
          <w:rFonts w:hint="eastAsia"/>
        </w:rPr>
        <w:t>）》第</w:t>
      </w:r>
      <w:r w:rsidR="00F32502" w:rsidRPr="00F32502">
        <w:t>191</w:t>
      </w:r>
      <w:r w:rsidR="00F32502" w:rsidRPr="00F32502">
        <w:rPr>
          <w:rFonts w:hint="eastAsia"/>
        </w:rPr>
        <w:t>頁，</w:t>
      </w:r>
      <w:r w:rsidR="00F32502" w:rsidRPr="00F32502">
        <w:t>2005</w:t>
      </w:r>
      <w:r w:rsidR="00F32502" w:rsidRPr="00F32502">
        <w:rPr>
          <w:rFonts w:hint="eastAsia"/>
        </w:rPr>
        <w:t>年。</w:t>
      </w:r>
    </w:p>
  </w:endnote>
  <w:endnote w:id="14">
    <w:p w14:paraId="2201E8F4" w14:textId="1133D635"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彭年：《秦漢族刑、收孥、相坐諸法淵源考釋》，《四川師大學報》</w:t>
      </w:r>
      <w:r w:rsidR="00F32502" w:rsidRPr="00F32502">
        <w:t>1986</w:t>
      </w:r>
      <w:r w:rsidR="00F32502" w:rsidRPr="00F32502">
        <w:rPr>
          <w:rFonts w:hint="eastAsia"/>
        </w:rPr>
        <w:t>年第</w:t>
      </w:r>
      <w:r w:rsidR="00F32502" w:rsidRPr="00F32502">
        <w:t>2</w:t>
      </w:r>
      <w:r w:rsidR="00F32502" w:rsidRPr="00F32502">
        <w:rPr>
          <w:rFonts w:hint="eastAsia"/>
        </w:rPr>
        <w:t>期第</w:t>
      </w:r>
      <w:r w:rsidR="00F32502" w:rsidRPr="00F32502">
        <w:t>56</w:t>
      </w:r>
      <w:r w:rsidR="00F32502" w:rsidRPr="00F32502">
        <w:rPr>
          <w:rFonts w:hint="eastAsia"/>
        </w:rPr>
        <w:t>頁。</w:t>
      </w:r>
    </w:p>
  </w:endnote>
  <w:endnote w:id="15">
    <w:p w14:paraId="3E52AB10" w14:textId="326AA2F3" w:rsidR="00393C80" w:rsidRPr="00F32502" w:rsidRDefault="00393C80" w:rsidP="00F32502">
      <w:pPr>
        <w:pStyle w:val="ae"/>
      </w:pPr>
      <w:r w:rsidRPr="00F32502">
        <w:rPr>
          <w:rStyle w:val="af"/>
          <w:vertAlign w:val="baseline"/>
        </w:rPr>
        <w:endnoteRef/>
      </w:r>
      <w:r w:rsidR="00F32502" w:rsidRPr="00F32502">
        <w:t xml:space="preserve"> </w:t>
      </w:r>
      <w:r w:rsidR="00F32502" w:rsidRPr="00F32502">
        <w:rPr>
          <w:rFonts w:hint="eastAsia"/>
        </w:rPr>
        <w:t>關</w:t>
      </w:r>
      <w:proofErr w:type="gramStart"/>
      <w:r w:rsidR="00F32502">
        <w:rPr>
          <w:rFonts w:hint="eastAsia"/>
        </w:rPr>
        <w:t>於</w:t>
      </w:r>
      <w:proofErr w:type="gramEnd"/>
      <w:r w:rsidR="00F32502" w:rsidRPr="00F32502">
        <w:rPr>
          <w:rFonts w:hint="eastAsia"/>
        </w:rPr>
        <w:t>漢代以</w:t>
      </w:r>
      <w:proofErr w:type="gramStart"/>
      <w:r w:rsidR="00F32502" w:rsidRPr="00F32502">
        <w:rPr>
          <w:rFonts w:hint="eastAsia"/>
        </w:rPr>
        <w:t>詔入律的</w:t>
      </w:r>
      <w:proofErr w:type="gramEnd"/>
      <w:r w:rsidR="00F32502" w:rsidRPr="00F32502">
        <w:rPr>
          <w:rFonts w:hint="eastAsia"/>
        </w:rPr>
        <w:t>情况可</w:t>
      </w:r>
      <w:proofErr w:type="gramStart"/>
      <w:r w:rsidR="00F32502" w:rsidRPr="00F32502">
        <w:rPr>
          <w:rFonts w:hint="eastAsia"/>
        </w:rPr>
        <w:t>參冨</w:t>
      </w:r>
      <w:proofErr w:type="gramEnd"/>
      <w:r w:rsidR="00F32502">
        <w:rPr>
          <w:rFonts w:hint="eastAsia"/>
        </w:rPr>
        <w:t>谷</w:t>
      </w:r>
      <w:r w:rsidR="00F32502" w:rsidRPr="00F32502">
        <w:rPr>
          <w:rFonts w:hint="eastAsia"/>
        </w:rPr>
        <w:t>至著、朱騰譯、徐世虹校譯：《通往晋泰始之路（Ⅰ）：秦漢的律與令》，中</w:t>
      </w:r>
      <w:proofErr w:type="gramStart"/>
      <w:r w:rsidR="00F32502" w:rsidRPr="00F32502">
        <w:rPr>
          <w:rFonts w:hint="eastAsia"/>
        </w:rPr>
        <w:t>國</w:t>
      </w:r>
      <w:proofErr w:type="gramEnd"/>
      <w:r w:rsidR="00F32502" w:rsidRPr="00F32502">
        <w:rPr>
          <w:rFonts w:hint="eastAsia"/>
        </w:rPr>
        <w:t>政法大學法律史學研究院編《日本學者中國法論著選譯》（上册）第</w:t>
      </w:r>
      <w:r w:rsidR="00F32502" w:rsidRPr="00F32502">
        <w:t>161-163</w:t>
      </w:r>
      <w:r w:rsidR="00F32502" w:rsidRPr="00F32502">
        <w:rPr>
          <w:rFonts w:hint="eastAsia"/>
        </w:rPr>
        <w:t>頁，中</w:t>
      </w:r>
      <w:proofErr w:type="gramStart"/>
      <w:r w:rsidR="00F32502" w:rsidRPr="00F32502">
        <w:rPr>
          <w:rFonts w:hint="eastAsia"/>
        </w:rPr>
        <w:t>國</w:t>
      </w:r>
      <w:proofErr w:type="gramEnd"/>
      <w:r w:rsidR="00F32502" w:rsidRPr="00F32502">
        <w:rPr>
          <w:rFonts w:hint="eastAsia"/>
        </w:rPr>
        <w:t>政法大學出版社，</w:t>
      </w:r>
      <w:r w:rsidR="00F32502" w:rsidRPr="00F32502">
        <w:t>2012</w:t>
      </w:r>
      <w:r w:rsidR="00F32502" w:rsidRPr="00F32502">
        <w:rPr>
          <w:rFonts w:hint="eastAsia"/>
        </w:rPr>
        <w:t>年；陳</w:t>
      </w:r>
      <w:proofErr w:type="gramStart"/>
      <w:r w:rsidR="00F32502" w:rsidRPr="00F32502">
        <w:rPr>
          <w:rFonts w:hint="eastAsia"/>
        </w:rPr>
        <w:t>偉</w:t>
      </w:r>
      <w:proofErr w:type="gramEnd"/>
      <w:r w:rsidR="00F32502" w:rsidRPr="00F32502">
        <w:rPr>
          <w:rFonts w:hint="eastAsia"/>
        </w:rPr>
        <w:t>主編、徐世虹等著：《秦律研究》第</w:t>
      </w:r>
      <w:r w:rsidR="00F32502" w:rsidRPr="00F32502">
        <w:t>72</w:t>
      </w:r>
      <w:r w:rsidR="00F32502" w:rsidRPr="00F32502">
        <w:rPr>
          <w:rFonts w:hint="eastAsia"/>
        </w:rPr>
        <w:t>頁，武漢大學出版社，</w:t>
      </w:r>
      <w:r w:rsidR="00F32502" w:rsidRPr="00F32502">
        <w:t>2017</w:t>
      </w:r>
      <w:r w:rsidR="00F32502" w:rsidRPr="00F32502">
        <w:rPr>
          <w:rFonts w:hint="eastAsia"/>
        </w:rPr>
        <w:t>年；周波：《張家山漢簡〈二年律令〉與〈漢書〉詔令比較研究》，《出土文獻》第</w:t>
      </w:r>
      <w:r w:rsidR="00F32502" w:rsidRPr="00F32502">
        <w:t>15</w:t>
      </w:r>
      <w:r w:rsidR="00F32502" w:rsidRPr="00F32502">
        <w:rPr>
          <w:rFonts w:hint="eastAsia"/>
        </w:rPr>
        <w:t>輯第</w:t>
      </w:r>
      <w:r w:rsidR="00F32502" w:rsidRPr="00F32502">
        <w:t>281-295</w:t>
      </w:r>
      <w:r w:rsidR="00F32502" w:rsidRPr="00F32502">
        <w:rPr>
          <w:rFonts w:hint="eastAsia"/>
        </w:rPr>
        <w:t>頁，中西</w:t>
      </w:r>
      <w:proofErr w:type="gramStart"/>
      <w:r w:rsidR="00F32502" w:rsidRPr="00F32502">
        <w:rPr>
          <w:rFonts w:hint="eastAsia"/>
        </w:rPr>
        <w:t>書</w:t>
      </w:r>
      <w:proofErr w:type="gramEnd"/>
      <w:r w:rsidR="00F32502" w:rsidRPr="00F32502">
        <w:rPr>
          <w:rFonts w:hint="eastAsia"/>
        </w:rPr>
        <w:t>局，</w:t>
      </w:r>
      <w:r w:rsidR="00F32502" w:rsidRPr="00F32502">
        <w:t>2019</w:t>
      </w:r>
      <w:r w:rsidR="00F32502" w:rsidRPr="00F32502">
        <w:rPr>
          <w:rFonts w:hint="eastAsia"/>
        </w:rPr>
        <w:t>年。</w:t>
      </w:r>
    </w:p>
    <w:p w14:paraId="0479572A" w14:textId="77777777" w:rsidR="00393C80" w:rsidRPr="00F32502" w:rsidRDefault="00393C80" w:rsidP="00F32502">
      <w:pPr>
        <w:pStyle w:val="a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panose1 w:val="02010609060101010101"/>
    <w:charset w:val="00"/>
    <w:family w:val="modern"/>
    <w:pitch w:val="fixed"/>
    <w:sig w:usb0="800002BF" w:usb1="3AC97CFA" w:usb2="04000016" w:usb3="00000000" w:csb0="0000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53E538EE"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21</w:t>
    </w:r>
    <w:r w:rsidRPr="00C01B1F">
      <w:rPr>
        <w:rFonts w:hint="eastAsia"/>
        <w:sz w:val="18"/>
        <w:szCs w:val="18"/>
      </w:rPr>
      <w:t>年</w:t>
    </w:r>
    <w:r w:rsidR="0030510A">
      <w:rPr>
        <w:sz w:val="18"/>
        <w:szCs w:val="18"/>
      </w:rPr>
      <w:t>1</w:t>
    </w:r>
    <w:r w:rsidR="00201B96">
      <w:rPr>
        <w:sz w:val="18"/>
        <w:szCs w:val="18"/>
      </w:rPr>
      <w:t>2</w:t>
    </w:r>
    <w:r w:rsidR="00CF5EB2">
      <w:rPr>
        <w:rFonts w:hint="eastAsia"/>
        <w:sz w:val="18"/>
        <w:szCs w:val="18"/>
      </w:rPr>
      <w:t>月</w:t>
    </w:r>
    <w:r w:rsidR="00BE12D1">
      <w:rPr>
        <w:sz w:val="18"/>
        <w:szCs w:val="18"/>
      </w:rPr>
      <w:t>2</w:t>
    </w:r>
    <w:r w:rsidR="00393C80">
      <w:rPr>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21</w:t>
    </w:r>
    <w:r w:rsidRPr="00C01B1F">
      <w:rPr>
        <w:rFonts w:hint="eastAsia"/>
        <w:sz w:val="18"/>
        <w:szCs w:val="18"/>
      </w:rPr>
      <w:t>年</w:t>
    </w:r>
    <w:r w:rsidR="0030510A">
      <w:rPr>
        <w:rFonts w:hint="eastAsia"/>
        <w:sz w:val="18"/>
        <w:szCs w:val="18"/>
      </w:rPr>
      <w:t>1</w:t>
    </w:r>
    <w:r w:rsidR="00201B96">
      <w:rPr>
        <w:sz w:val="18"/>
        <w:szCs w:val="18"/>
      </w:rPr>
      <w:t>2</w:t>
    </w:r>
    <w:r w:rsidRPr="00C01B1F">
      <w:rPr>
        <w:rFonts w:hint="eastAsia"/>
        <w:sz w:val="18"/>
        <w:szCs w:val="18"/>
      </w:rPr>
      <w:t>月</w:t>
    </w:r>
    <w:r w:rsidR="00393C80">
      <w:rPr>
        <w:sz w:val="18"/>
        <w:szCs w:val="18"/>
      </w:rPr>
      <w:t>31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14B4" w14:textId="77777777" w:rsidR="005547BF" w:rsidRDefault="005547BF" w:rsidP="00CB0024">
      <w:r>
        <w:separator/>
      </w:r>
    </w:p>
  </w:footnote>
  <w:footnote w:type="continuationSeparator" w:id="0">
    <w:p w14:paraId="7703241E" w14:textId="77777777" w:rsidR="005547BF" w:rsidRDefault="005547B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0"/>
      <w:spacing w:before="240" w:after="240"/>
      <w:ind w:firstLine="436"/>
    </w:pPr>
    <w:r>
      <w:rPr>
        <w:rFonts w:hint="eastAsia"/>
      </w:rPr>
      <w:t>复旦大学出土文献与古文字研究中心网站论文</w:t>
    </w:r>
  </w:p>
  <w:p w14:paraId="6F840705" w14:textId="7DC91979" w:rsidR="00CF5EB2" w:rsidRPr="00CF5EB2" w:rsidRDefault="003E6BB9" w:rsidP="00CF5EB2">
    <w:pPr>
      <w:pStyle w:val="af0"/>
      <w:spacing w:before="240" w:after="240"/>
      <w:ind w:firstLine="436"/>
    </w:pPr>
    <w:r>
      <w:rPr>
        <w:rFonts w:hint="eastAsia"/>
      </w:rPr>
      <w:t>链接：</w:t>
    </w:r>
    <w:r w:rsidR="0030510A" w:rsidRPr="0030510A">
      <w:t>http://www.fdgwz.org.cn/Web/Show/</w:t>
    </w:r>
    <w:r w:rsidR="00F001B7">
      <w:t>78</w:t>
    </w:r>
    <w:r w:rsidR="00393C80">
      <w:t>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5" type="#_x0000_t75" style="width:43.5pt;height:49.5pt;visibility:visible" o:bullet="t">
        <v:imagedata r:id="rId1" o:title=""/>
      </v:shape>
    </w:pict>
  </w:numPicBullet>
  <w:numPicBullet w:numPicBulletId="1">
    <w:pict>
      <v:shape id="_x0000_i1816" type="#_x0000_t75" style="width:21.75pt;height:27.75pt" o:bullet="t">
        <v:imagedata r:id="rId2" o:title=""/>
        <o:lock v:ext="edit" aspectratio="f"/>
      </v:shape>
    </w:pict>
  </w:numPicBullet>
  <w:numPicBullet w:numPicBulletId="2">
    <w:pict>
      <v:shape id="_x0000_i1817" type="#_x0000_t75" style="width:174pt;height:179.2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abstractNumId w:val="24"/>
  </w:num>
  <w:num w:numId="2">
    <w:abstractNumId w:val="40"/>
  </w:num>
  <w:num w:numId="3">
    <w:abstractNumId w:val="25"/>
  </w:num>
  <w:num w:numId="4">
    <w:abstractNumId w:val="36"/>
  </w:num>
  <w:num w:numId="5">
    <w:abstractNumId w:val="2"/>
  </w:num>
  <w:num w:numId="6">
    <w:abstractNumId w:val="37"/>
  </w:num>
  <w:num w:numId="7">
    <w:abstractNumId w:val="28"/>
  </w:num>
  <w:num w:numId="8">
    <w:abstractNumId w:val="1"/>
    <w:lvlOverride w:ilvl="0">
      <w:startOverride w:val="1"/>
    </w:lvlOverride>
  </w:num>
  <w:num w:numId="9">
    <w:abstractNumId w:val="0"/>
    <w:lvlOverride w:ilvl="0">
      <w:startOverride w:val="1"/>
    </w:lvlOverride>
  </w:num>
  <w:num w:numId="10">
    <w:abstractNumId w:val="20"/>
  </w:num>
  <w:num w:numId="11">
    <w:abstractNumId w:val="27"/>
  </w:num>
  <w:num w:numId="12">
    <w:abstractNumId w:val="17"/>
  </w:num>
  <w:num w:numId="13">
    <w:abstractNumId w:val="14"/>
  </w:num>
  <w:num w:numId="14">
    <w:abstractNumId w:val="15"/>
  </w:num>
  <w:num w:numId="15">
    <w:abstractNumId w:val="26"/>
  </w:num>
  <w:num w:numId="16">
    <w:abstractNumId w:val="38"/>
  </w:num>
  <w:num w:numId="17">
    <w:abstractNumId w:val="44"/>
  </w:num>
  <w:num w:numId="18">
    <w:abstractNumId w:val="35"/>
  </w:num>
  <w:num w:numId="19">
    <w:abstractNumId w:val="16"/>
  </w:num>
  <w:num w:numId="20">
    <w:abstractNumId w:val="41"/>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0"/>
  </w:num>
  <w:num w:numId="32">
    <w:abstractNumId w:val="34"/>
  </w:num>
  <w:num w:numId="33">
    <w:abstractNumId w:val="33"/>
  </w:num>
  <w:num w:numId="34">
    <w:abstractNumId w:val="22"/>
  </w:num>
  <w:num w:numId="35">
    <w:abstractNumId w:val="3"/>
  </w:num>
  <w:num w:numId="36">
    <w:abstractNumId w:val="29"/>
  </w:num>
  <w:num w:numId="37">
    <w:abstractNumId w:val="31"/>
  </w:num>
  <w:num w:numId="38">
    <w:abstractNumId w:val="18"/>
  </w:num>
  <w:num w:numId="39">
    <w:abstractNumId w:val="39"/>
  </w:num>
  <w:num w:numId="40">
    <w:abstractNumId w:val="32"/>
  </w:num>
  <w:num w:numId="41">
    <w:abstractNumId w:val="21"/>
  </w:num>
  <w:num w:numId="42">
    <w:abstractNumId w:val="42"/>
  </w:num>
  <w:num w:numId="43">
    <w:abstractNumId w:val="45"/>
  </w:num>
  <w:num w:numId="44">
    <w:abstractNumId w:val="19"/>
  </w:num>
  <w:num w:numId="45">
    <w:abstractNumId w:val="2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26A6"/>
    <w:rsid w:val="00062FE9"/>
    <w:rsid w:val="00066107"/>
    <w:rsid w:val="0006648C"/>
    <w:rsid w:val="00073508"/>
    <w:rsid w:val="00076F82"/>
    <w:rsid w:val="00077C36"/>
    <w:rsid w:val="00084150"/>
    <w:rsid w:val="0008479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2033E"/>
    <w:rsid w:val="005268F5"/>
    <w:rsid w:val="00526AE6"/>
    <w:rsid w:val="005308E6"/>
    <w:rsid w:val="00531EA3"/>
    <w:rsid w:val="0053295D"/>
    <w:rsid w:val="0053723F"/>
    <w:rsid w:val="00541E3D"/>
    <w:rsid w:val="00542D51"/>
    <w:rsid w:val="005444A2"/>
    <w:rsid w:val="005465C3"/>
    <w:rsid w:val="00546876"/>
    <w:rsid w:val="005536B1"/>
    <w:rsid w:val="005547BF"/>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526E4"/>
    <w:rsid w:val="00666D65"/>
    <w:rsid w:val="00672EC8"/>
    <w:rsid w:val="00673C78"/>
    <w:rsid w:val="006778A0"/>
    <w:rsid w:val="00682D5D"/>
    <w:rsid w:val="00686575"/>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1A80"/>
    <w:rsid w:val="007B29FD"/>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6158"/>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2D1"/>
    <w:rsid w:val="00BE148F"/>
    <w:rsid w:val="00BE5AA8"/>
    <w:rsid w:val="00BF358E"/>
    <w:rsid w:val="00BF370B"/>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6E9"/>
    <w:rsid w:val="00D24914"/>
    <w:rsid w:val="00D326D7"/>
    <w:rsid w:val="00D33111"/>
    <w:rsid w:val="00D4023B"/>
    <w:rsid w:val="00D40B52"/>
    <w:rsid w:val="00D50E87"/>
    <w:rsid w:val="00D51572"/>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7"/>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8"/>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1"/>
    <w:uiPriority w:val="99"/>
    <w:unhideWhenUsed/>
    <w:rsid w:val="00077C36"/>
    <w:rPr>
      <w:color w:val="0000FF"/>
      <w:u w:val="single"/>
    </w:rPr>
  </w:style>
  <w:style w:type="paragraph" w:customStyle="1" w:styleId="1a">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c">
    <w:name w:val="访问过的超链接1"/>
    <w:basedOn w:val="a1"/>
    <w:uiPriority w:val="99"/>
    <w:semiHidden/>
    <w:unhideWhenUsed/>
    <w:rsid w:val="00077C36"/>
    <w:rPr>
      <w:color w:val="800080"/>
      <w:u w:val="single"/>
    </w:rPr>
  </w:style>
  <w:style w:type="paragraph" w:customStyle="1" w:styleId="17">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d">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e">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f">
    <w:name w:val="批注框文本 字符1"/>
    <w:basedOn w:val="a1"/>
    <w:uiPriority w:val="99"/>
    <w:semiHidden/>
    <w:rsid w:val="00077C36"/>
    <w:rPr>
      <w:sz w:val="18"/>
      <w:szCs w:val="18"/>
    </w:rPr>
  </w:style>
  <w:style w:type="character" w:customStyle="1" w:styleId="1f0">
    <w:name w:val="页眉 字符1"/>
    <w:basedOn w:val="a1"/>
    <w:uiPriority w:val="99"/>
    <w:rsid w:val="00077C36"/>
    <w:rPr>
      <w:sz w:val="18"/>
      <w:szCs w:val="18"/>
    </w:rPr>
  </w:style>
  <w:style w:type="character" w:customStyle="1" w:styleId="1f1">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2">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numbering" w:customStyle="1" w:styleId="23">
    <w:name w:val="无列表2"/>
    <w:next w:val="a3"/>
    <w:uiPriority w:val="99"/>
    <w:semiHidden/>
    <w:unhideWhenUsed/>
    <w:rsid w:val="00F001B7"/>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numbering" w:customStyle="1" w:styleId="32">
    <w:name w:val="无列表3"/>
    <w:next w:val="a3"/>
    <w:uiPriority w:val="99"/>
    <w:semiHidden/>
    <w:unhideWhenUsed/>
    <w:rsid w:val="00526AE6"/>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styleId="afff4">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5">
    <w:name w:val="样式"/>
    <w:rsid w:val="00526AE6"/>
    <w:pPr>
      <w:widowControl w:val="0"/>
      <w:autoSpaceDE w:val="0"/>
      <w:autoSpaceDN w:val="0"/>
      <w:adjustRightInd w:val="0"/>
    </w:pPr>
    <w:rPr>
      <w:rFonts w:ascii="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3040</TotalTime>
  <Pages>20</Pages>
  <Words>1437</Words>
  <Characters>8193</Characters>
  <Application>Microsoft Office Word</Application>
  <DocSecurity>0</DocSecurity>
  <Lines>68</Lines>
  <Paragraphs>19</Paragraphs>
  <ScaleCrop>false</ScaleCrop>
  <Company>GWZ</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李 雨萌</cp:lastModifiedBy>
  <cp:revision>252</cp:revision>
  <dcterms:created xsi:type="dcterms:W3CDTF">2018-01-27T09:07:00Z</dcterms:created>
  <dcterms:modified xsi:type="dcterms:W3CDTF">2021-12-30T23:29:00Z</dcterms:modified>
</cp:coreProperties>
</file>